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两篇无关论文部分图像数据完全一致且涉嫌抄袭早期论文被撤稿，涉及吉林大学中日联谊医院、吉林大学第一医院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北华大学附属医院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up-regulation of miR-300 in gastric cancer and its effects on cells malignancy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Clinical and Experimental Medicine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吉林大学中日联谊医院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发表时间：2015年5月15日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PMID: 26221215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虚假材料和/或数据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MiR-300 regulate the malignancy of breast cancer by targeting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Clinical and Experimental Medicine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吉林大学第一医院&amp;北华大学附属医院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发表时间：2015年5月15日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PMID: 26221232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撤稿原因：存在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虚假材料和/或数据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1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3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不同机构，不同作者在同一期刊同一时期发表的论文几乎完全相同。此外，该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图表数据最早出现在一篇早期发表的论文（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doi:10.3748/wjg.v19.i41.7078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56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年的一篇论文（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doi:10.7150/ijbs.7.567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蛋白质印迹（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）图像极为相似。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4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7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doi:10.1371/journal.pgen.1000879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蛋白质印迹（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）和细胞侵袭照片高度相似。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尽管图表被重新绘制过，但所呈现的数据似乎也相似。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15420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3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420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Study 1&amp;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一位知识渊博的读者发现了本出版物中报告的虚假材料和/或数据，随后经编辑部进一步调查确认属实。因此，根据本刊的政策和编辑决定，全文予以撤稿。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https://e-century.us/files/ijcem/18/3/ijcem2503002.pdf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https://e-century.us/files/ijcem/18/3/ijcem2503001.pdf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53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7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3&amp;sn=f4144dbfc682f1da06e63b93c0a339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