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基金委通报：学术不端案件（</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资讯</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2025-04-11 17:58:38</w:t>
      </w:r>
      <w:r>
        <w:rPr>
          <w:rStyle w:val="richmediametalistem"/>
          <w:rFonts w:ascii="PMingLiU" w:eastAsia="PMingLiU" w:hAnsi="PMingLiU" w:cs="PMingLiU"/>
          <w:color w:val="A5A5A5"/>
          <w:spacing w:val="8"/>
          <w:sz w:val="23"/>
          <w:szCs w:val="23"/>
        </w:rPr>
        <w:t>河南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73874"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widowControl/>
        <w:shd w:val="clear" w:color="auto" w:fill="FFFFFF"/>
        <w:spacing w:before="0" w:line="432" w:lineRule="atLeast"/>
        <w:ind w:left="300" w:right="300"/>
        <w:jc w:val="center"/>
        <w:rPr>
          <w:rStyle w:val="any"/>
          <w:rFonts w:ascii="Microsoft YaHei UI" w:eastAsia="Microsoft YaHei UI" w:hAnsi="Microsoft YaHei UI" w:cs="Microsoft YaHei UI"/>
          <w:color w:val="A0A0A0"/>
          <w:spacing w:val="8"/>
          <w:sz w:val="27"/>
          <w:szCs w:val="27"/>
        </w:rPr>
      </w:pPr>
      <w:r>
        <w:rPr>
          <w:rStyle w:val="any"/>
          <w:rFonts w:ascii="Microsoft YaHei UI" w:eastAsia="Microsoft YaHei UI" w:hAnsi="Microsoft YaHei UI" w:cs="Microsoft YaHei UI"/>
          <w:b/>
          <w:bCs/>
          <w:color w:val="021EAA"/>
          <w:spacing w:val="8"/>
          <w:sz w:val="18"/>
          <w:szCs w:val="18"/>
        </w:rPr>
        <w:t>版权声明</w:t>
      </w:r>
    </w:p>
    <w:p>
      <w:pPr>
        <w:widowControl/>
        <w:shd w:val="clear" w:color="auto" w:fill="FFFFFF"/>
        <w:spacing w:before="0" w:after="300"/>
        <w:ind w:left="420" w:right="420"/>
        <w:jc w:val="center"/>
        <w:rPr>
          <w:rStyle w:val="any"/>
          <w:rFonts w:ascii="Microsoft YaHei UI" w:eastAsia="Microsoft YaHei UI" w:hAnsi="Microsoft YaHei UI" w:cs="Microsoft YaHei UI"/>
          <w:color w:val="515151"/>
          <w:spacing w:val="8"/>
        </w:rPr>
      </w:pPr>
      <w:r>
        <w:rPr>
          <w:rStyle w:val="any"/>
          <w:rFonts w:ascii="微软雅黑" w:eastAsia="微软雅黑" w:hAnsi="微软雅黑" w:cs="微软雅黑"/>
          <w:color w:val="B2B2B2"/>
          <w:spacing w:val="7"/>
          <w:sz w:val="18"/>
          <w:szCs w:val="18"/>
        </w:rPr>
        <w:t>本文来源：国家自然科学基金委员会</w:t>
      </w:r>
      <w:r>
        <w:rPr>
          <w:rStyle w:val="any"/>
          <w:rFonts w:ascii="微软雅黑" w:eastAsia="微软雅黑" w:hAnsi="微软雅黑" w:cs="微软雅黑"/>
          <w:color w:val="B2B2B2"/>
          <w:spacing w:val="7"/>
          <w:sz w:val="18"/>
          <w:szCs w:val="18"/>
        </w:rPr>
        <w:t>，仅用于学术分享，转载请注明出处。</w:t>
      </w:r>
    </w:p>
    <w:p>
      <w:pPr>
        <w:spacing w:before="0" w:after="0" w:line="384" w:lineRule="atLeast"/>
        <w:ind w:left="300" w:right="300"/>
        <w:rPr>
          <w:rStyle w:val="any"/>
          <w:rFonts w:ascii="Times New Roman" w:eastAsia="Times New Roman" w:hAnsi="Times New Roman" w:cs="Times New Roman"/>
          <w:spacing w:val="8"/>
        </w:rPr>
      </w:pPr>
    </w:p>
    <w:p>
      <w:pPr>
        <w:widowControl/>
        <w:shd w:val="clear" w:color="auto" w:fill="FFFFFF"/>
        <w:spacing w:before="0" w:after="0" w:line="384" w:lineRule="atLeast"/>
        <w:ind w:left="300" w:right="300" w:firstLine="0"/>
        <w:jc w:val="center"/>
        <w:rPr>
          <w:rStyle w:val="any"/>
          <w:rFonts w:ascii="微软雅黑" w:eastAsia="微软雅黑" w:hAnsi="微软雅黑" w:cs="微软雅黑"/>
          <w:b w:val="0"/>
          <w:bCs w:val="0"/>
          <w:i w:val="0"/>
          <w:iCs w:val="0"/>
          <w:caps w:val="0"/>
          <w:color w:val="515151"/>
          <w:spacing w:val="9"/>
        </w:rPr>
      </w:pPr>
      <w:r>
        <w:rPr>
          <w:rStyle w:val="any"/>
          <w:rFonts w:ascii="微软雅黑" w:eastAsia="微软雅黑" w:hAnsi="微软雅黑" w:cs="微软雅黑"/>
          <w:b w:val="0"/>
          <w:bCs w:val="0"/>
          <w:i w:val="0"/>
          <w:iCs w:val="0"/>
          <w:caps w:val="0"/>
          <w:strike w:val="0"/>
          <w:color w:val="515151"/>
          <w:spacing w:val="9"/>
          <w:u w:val="none"/>
        </w:rPr>
        <w:drawing>
          <wp:inline>
            <wp:extent cx="1209923" cy="6386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618646" name=""/>
                    <pic:cNvPicPr>
                      <a:picLocks noChangeAspect="1"/>
                    </pic:cNvPicPr>
                  </pic:nvPicPr>
                  <pic:blipFill>
                    <a:blip xmlns:r="http://schemas.openxmlformats.org/officeDocument/2006/relationships" r:embed="rId8"/>
                    <a:stretch>
                      <a:fillRect/>
                    </a:stretch>
                  </pic:blipFill>
                  <pic:spPr>
                    <a:xfrm>
                      <a:off x="0" y="0"/>
                      <a:ext cx="1209923" cy="63867"/>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515151"/>
          <w:spacing w:val="8"/>
        </w:rPr>
      </w:pPr>
      <w:r>
        <w:rPr>
          <w:rStyle w:val="any"/>
          <w:rFonts w:ascii="微软雅黑" w:eastAsia="微软雅黑" w:hAnsi="微软雅黑" w:cs="微软雅黑"/>
          <w:b w:val="0"/>
          <w:bCs w:val="0"/>
          <w:i w:val="0"/>
          <w:iCs w:val="0"/>
          <w:caps w:val="0"/>
          <w:strike w:val="0"/>
          <w:color w:val="515151"/>
          <w:spacing w:val="8"/>
          <w:u w:val="none"/>
        </w:rPr>
        <w:drawing>
          <wp:inline>
            <wp:extent cx="2578894" cy="2573532"/>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67520" name=""/>
                    <pic:cNvPicPr>
                      <a:picLocks noChangeAspect="1"/>
                    </pic:cNvPicPr>
                  </pic:nvPicPr>
                  <pic:blipFill>
                    <a:blip xmlns:r="http://schemas.openxmlformats.org/officeDocument/2006/relationships" r:embed="rId9"/>
                    <a:stretch>
                      <a:fillRect/>
                    </a:stretch>
                  </pic:blipFill>
                  <pic:spPr>
                    <a:xfrm>
                      <a:off x="0" y="0"/>
                      <a:ext cx="2578894" cy="2573532"/>
                    </a:xfrm>
                    <a:prstGeom prst="rect">
                      <a:avLst/>
                    </a:prstGeom>
                  </pic:spPr>
                </pic:pic>
              </a:graphicData>
            </a:graphic>
          </wp:inline>
        </w:drawing>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iPubpeers，专注于图片重复</w:t>
      </w:r>
      <w:r>
        <w:rPr>
          <w:rStyle w:val="any"/>
          <w:rFonts w:ascii="Microsoft YaHei UI" w:eastAsia="Microsoft YaHei UI" w:hAnsi="Microsoft YaHei UI" w:cs="Microsoft YaHei UI"/>
          <w:b/>
          <w:bCs/>
          <w:i w:val="0"/>
          <w:iCs w:val="0"/>
          <w:caps w:val="0"/>
          <w:color w:val="B2B2B2"/>
          <w:spacing w:val="8"/>
          <w:sz w:val="21"/>
          <w:szCs w:val="21"/>
        </w:rPr>
        <w:t>报道。</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515151"/>
          <w:spacing w:val="8"/>
        </w:rPr>
      </w:pPr>
      <w:r>
        <w:rPr>
          <w:rStyle w:val="any"/>
          <w:rFonts w:ascii="Microsoft YaHei UI" w:eastAsia="Microsoft YaHei UI" w:hAnsi="Microsoft YaHei UI" w:cs="Microsoft YaHei UI"/>
          <w:b/>
          <w:bCs/>
          <w:i w:val="0"/>
          <w:iCs w:val="0"/>
          <w:caps w:val="0"/>
          <w:color w:val="B2B2B2"/>
          <w:spacing w:val="8"/>
          <w:sz w:val="21"/>
          <w:szCs w:val="21"/>
        </w:rPr>
        <w:t>投稿事宜</w:t>
      </w:r>
      <w:r>
        <w:rPr>
          <w:rStyle w:val="any"/>
          <w:rFonts w:ascii="Microsoft YaHei UI" w:eastAsia="Microsoft YaHei UI" w:hAnsi="Microsoft YaHei UI" w:cs="Microsoft YaHei UI"/>
          <w:b/>
          <w:bCs/>
          <w:i w:val="0"/>
          <w:iCs w:val="0"/>
          <w:caps w:val="0"/>
          <w:color w:val="B2B2B2"/>
          <w:spacing w:val="8"/>
          <w:sz w:val="21"/>
          <w:szCs w:val="21"/>
        </w:rPr>
        <w:t>：</w:t>
      </w:r>
      <w:r>
        <w:rPr>
          <w:rStyle w:val="any"/>
          <w:rFonts w:ascii="Microsoft YaHei UI" w:eastAsia="Microsoft YaHei UI" w:hAnsi="Microsoft YaHei UI" w:cs="Microsoft YaHei UI"/>
          <w:b/>
          <w:bCs/>
          <w:i w:val="0"/>
          <w:iCs w:val="0"/>
          <w:caps w:val="0"/>
          <w:color w:val="7B0C00"/>
          <w:spacing w:val="8"/>
          <w:sz w:val="21"/>
          <w:szCs w:val="21"/>
        </w:rPr>
        <w:t>ilovehainan@foxmail.com</w:t>
      </w:r>
    </w:p>
    <w:p>
      <w:pPr>
        <w:widowControl/>
        <w:shd w:val="clear" w:color="auto" w:fill="FFFFFF"/>
        <w:spacing w:before="0" w:after="0" w:line="420" w:lineRule="atLeast"/>
        <w:ind w:left="300" w:right="300" w:firstLine="0"/>
        <w:jc w:val="center"/>
        <w:rPr>
          <w:rStyle w:val="any"/>
          <w:rFonts w:ascii="Microsoft YaHei UI" w:eastAsia="Microsoft YaHei UI" w:hAnsi="Microsoft YaHei UI" w:cs="Microsoft YaHei UI"/>
          <w:b w:val="0"/>
          <w:bCs w:val="0"/>
          <w:i w:val="0"/>
          <w:iCs w:val="0"/>
          <w:caps w:val="0"/>
          <w:color w:val="222222"/>
          <w:spacing w:val="8"/>
        </w:rPr>
      </w:pPr>
    </w:p>
    <w:p>
      <w:pPr>
        <w:widowControl/>
        <w:shd w:val="clear" w:color="auto" w:fill="FFFFFF"/>
        <w:spacing w:before="0" w:after="0" w:line="420" w:lineRule="atLeast"/>
        <w:ind w:left="300" w:right="300" w:firstLine="0"/>
        <w:jc w:val="center"/>
        <w:rPr>
          <w:rStyle w:val="any"/>
          <w:rFonts w:ascii="微软雅黑" w:eastAsia="微软雅黑" w:hAnsi="微软雅黑" w:cs="微软雅黑"/>
          <w:b w:val="0"/>
          <w:bCs w:val="0"/>
          <w:i w:val="0"/>
          <w:iCs w:val="0"/>
          <w:caps w:val="0"/>
          <w:color w:val="338DAF"/>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right"/>
        <w:rPr>
          <w:rStyle w:val="any"/>
          <w:rFonts w:ascii="Microsoft YaHei UI" w:eastAsia="Microsoft YaHei UI" w:hAnsi="Microsoft YaHei UI" w:cs="Microsoft YaHei UI"/>
          <w:b w:val="0"/>
          <w:bCs w:val="0"/>
          <w:i w:val="0"/>
          <w:iCs w:val="0"/>
          <w:caps w:val="0"/>
          <w:spacing w:val="8"/>
          <w:sz w:val="26"/>
          <w:szCs w:val="26"/>
        </w:rPr>
      </w:pPr>
      <w:r>
        <w:rPr>
          <w:rStyle w:val="any"/>
          <w:rFonts w:ascii="微软雅黑" w:eastAsia="微软雅黑" w:hAnsi="微软雅黑" w:cs="微软雅黑"/>
          <w:b/>
          <w:bCs/>
          <w:i w:val="0"/>
          <w:iCs w:val="0"/>
          <w:caps w:val="0"/>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448&amp;idx=1&amp;sn=aca2be4403aeb880c186345d99480d70"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scene=21#wechat_redirect" TargetMode="External" /><Relationship Id="rId7" Type="http://schemas.openxmlformats.org/officeDocument/2006/relationships/image" Target="media/image1.jpeg" /><Relationship Id="rId8" Type="http://schemas.openxmlformats.org/officeDocument/2006/relationships/image" Target="media/image2.png" /><Relationship Id="rId9" Type="http://schemas.openxmlformats.org/officeDocument/2006/relationships/image" Target="media/image3.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