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数据存疑，涉嫌图像操纵，南京医科大学第一附属医院孔祥清、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Peng Li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R2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Reviewer 2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13:33:28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0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一</w:t>
      </w: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773609" cy="77360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7541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73609" cy="773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450" w:right="300"/>
        <w:jc w:val="both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</w:rPr>
        <w:t>点击蓝字关注我们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  <w:shd w:val="clear" w:color="auto" w:fill="CB591B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45518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" w:line="378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2018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年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12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日，南京医科大学第一附属医院心血管内科的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Chi Liu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（第一作者）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 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Xiang-Qing Kong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通讯作者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音译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 xml:space="preserve"> 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孔祥清）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&amp;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 Peng Li</w:t>
      </w:r>
      <w:r>
        <w:rPr>
          <w:rStyle w:val="any"/>
          <w:rFonts w:ascii="PMingLiU" w:eastAsia="PMingLiU" w:hAnsi="PMingLiU" w:cs="PMingLiU"/>
          <w:color w:val="C84D0C"/>
          <w:spacing w:val="9"/>
          <w:sz w:val="21"/>
          <w:szCs w:val="21"/>
        </w:rPr>
        <w:t>（通讯作者）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Amino Acids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（中科院三区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IF=3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）期刊上在线发表题为</w:t>
      </w:r>
      <w:r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  <w:t>"Alamandine attenuates hypertension and cardiac hypertrophy in hypertensive rats"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(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癫痫后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BC1 RNA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的表达变化及其与真核翻译起始因子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 xml:space="preserve"> eIF4A 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的相互作用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)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15" w:right="315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本研究得到了中国国家自然科学基金（编号：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81400315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81627802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和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81570247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）、江苏省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“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六大人才高峰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”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项目（编号：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2015-WSN-29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）以及江苏高校优势学科建设工程（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PAPD</w:t>
      </w:r>
      <w:r>
        <w:rPr>
          <w:rStyle w:val="any"/>
          <w:rFonts w:ascii="PMingLiU" w:eastAsia="PMingLiU" w:hAnsi="PMingLiU" w:cs="PMingLiU"/>
          <w:spacing w:val="9"/>
          <w:sz w:val="21"/>
          <w:szCs w:val="21"/>
        </w:rPr>
        <w:t>）的资助。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365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75582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0" w:line="432" w:lineRule="atLeast"/>
        <w:ind w:left="315" w:right="315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9"/>
          <w:u w:val="none"/>
        </w:rPr>
        <w:drawing>
          <wp:inline>
            <wp:extent cx="5486400" cy="429295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64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92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378" w:lineRule="atLeast"/>
        <w:ind w:left="405" w:right="40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810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378" w:lineRule="atLeast"/>
        <w:ind w:left="405" w:right="405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8"/>
          <w:sz w:val="21"/>
          <w:szCs w:val="21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pStyle w:val="p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78" w:lineRule="atLeast"/>
        <w:ind w:left="405" w:right="405" w:hanging="196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3E3E3E"/>
          <w:spacing w:val="9"/>
          <w:sz w:val="21"/>
          <w:szCs w:val="21"/>
        </w:rPr>
        <w:t>图3B不同处理条件下的部分细胞相同。</w:t>
      </w:r>
    </w:p>
    <w:p>
      <w:pPr>
        <w:shd w:val="clear" w:color="auto" w:fill="FFFFFF"/>
        <w:spacing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A cluster of cells seems to appear in two differently-treated images shown in Figure 3B, however the surrounding area is not the same, suggesting that these are not two overlapping images of the same sample.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375" w:right="375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</w:rPr>
        <w:drawing>
          <wp:inline>
            <wp:extent cx="5486400" cy="666634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721770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666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375" w:right="37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0" w:line="432" w:lineRule="atLeast"/>
        <w:ind w:left="450" w:right="4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9"/>
          <w:u w:val="none"/>
          <w:shd w:val="clear" w:color="auto" w:fill="CB591B"/>
        </w:rPr>
        <w:drawing>
          <wp:inline>
            <wp:extent cx="951328" cy="95185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58602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0" w:line="432" w:lineRule="atLeast"/>
        <w:ind w:left="450" w:right="450"/>
        <w:jc w:val="both"/>
        <w:rPr>
          <w:rStyle w:val="any"/>
          <w:rFonts w:ascii="Microsoft YaHei UI" w:eastAsia="Microsoft YaHei UI" w:hAnsi="Microsoft YaHei UI" w:cs="Microsoft YaHei UI"/>
          <w:color w:val="C84D0C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撤稿原因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本文已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于2025年3月25日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C84D0C"/>
          <w:spacing w:val="9"/>
          <w:sz w:val="21"/>
          <w:szCs w:val="21"/>
        </w:rPr>
        <w:t>被撤回：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主编已撤回本文。文章发表后，有人对图中呈现的一些数据提出了质疑，具体为：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图3b中Ala图像右下角的细胞簇与Ala＋Ang II图像左上角的细胞簇高度相似；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? 图4B的MrgD和图6C的PKA印迹在泳道2和3之间的背景中似乎存在垂直断裂，而相应的GAPDH印迹则显得连续。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此外，图2A中SHR-Saline组的心脏图像相对于其他三组似乎被水平拉伸了。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因此，主编对文中呈现的数据不再有信心。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360" w:lineRule="atLeast"/>
        <w:ind w:left="465" w:right="465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3E3E3E"/>
          <w:spacing w:val="9"/>
          <w:sz w:val="21"/>
          <w:szCs w:val="21"/>
        </w:rPr>
        <w:t>Peng Li 不同意此次撤稿。其他作者均未就出版方关于此次撤稿的任何通信作出回应。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450" w:right="45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15" w:line="432" w:lineRule="atLeast"/>
        <w:ind w:left="390" w:right="390"/>
        <w:rPr>
          <w:rStyle w:val="any"/>
          <w:rFonts w:ascii="Microsoft YaHei UI" w:eastAsia="Microsoft YaHei UI" w:hAnsi="Microsoft YaHei UI" w:cs="Microsoft YaHei UI"/>
          <w:color w:val="3E3E3E"/>
          <w:spacing w:val="9"/>
        </w:rPr>
      </w:pPr>
    </w:p>
    <w:p>
      <w:pPr>
        <w:spacing w:before="0" w:after="0" w:line="378" w:lineRule="atLeast"/>
        <w:ind w:left="315" w:right="315"/>
        <w:jc w:val="center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E3E3E"/>
          <w:spacing w:val="9"/>
          <w:sz w:val="21"/>
          <w:szCs w:val="21"/>
          <w:u w:val="none"/>
          <w:shd w:val="clear" w:color="auto" w:fill="CB591B"/>
        </w:rPr>
        <w:drawing>
          <wp:inline>
            <wp:extent cx="951328" cy="951855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3662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78" w:lineRule="atLeast"/>
        <w:ind w:left="315" w:right="315"/>
        <w:jc w:val="both"/>
        <w:rPr>
          <w:rStyle w:val="any"/>
          <w:rFonts w:ascii="Times New Roman" w:eastAsia="Times New Roman" w:hAnsi="Times New Roman" w:cs="Times New Roman"/>
          <w:color w:val="C84D0C"/>
          <w:spacing w:val="9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C84D0C"/>
          <w:spacing w:val="9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https://pubpeer.com/publications/73E4DCD4457A3B5C7691C4B697473A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https://pubmed.ncbi.nlm.nih.gov/29752563/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  <w:t>https://link.springer.com/article/10.1007/s00726-025-03450-9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32" w:lineRule="atLeast"/>
        <w:ind w:left="300" w:right="300" w:firstLine="0"/>
        <w:rPr>
          <w:rStyle w:val="any"/>
          <w:rFonts w:ascii="Times New Roman" w:eastAsia="Times New Roman" w:hAnsi="Times New Roman" w:cs="Times New Roman"/>
          <w:color w:val="3E3E3E"/>
          <w:spacing w:val="9"/>
          <w:sz w:val="20"/>
          <w:szCs w:val="20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MjY4ODQ5Mw==&amp;mid=2247497026&amp;idx=4&amp;sn=544a899ec3da92f8f0de23732865c3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