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多处图像面板重叠，上海市第十人民医院的论文被质疑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26909612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85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5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28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miR-194 inhibits the proliferation, invasion, migration, and enhances the chemosensitivity of non-small cell lung cancer cells by targeting forkhead box A1 protein"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miR-194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通过靶向叉头盒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蛋白抑制非小细胞肺癌细胞的增殖、侵袭、迁移并增强其化疗敏感性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Xuchao Zhu, Dan Li, Fei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Lihong Fan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Zhongwei Lv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59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61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创医疗领域多项第一、成企业医院转型典范，上海市第十人民医院迎建院110周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32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5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 Figure3A, 4A and 6A: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O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verl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apping images within articles.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712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94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 4B: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Overlapping images in different articles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2016.11.25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 xml:space="preserve"> doi: 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10.3892/or.2016.5275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9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97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478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3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https://pubpeer.com/publications/467DC912D54204DDBA5BA421690C8F#0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https://pubmed.ncbi.nlm.nih.gov/26909612/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3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89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4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6&amp;sn=0f87a52c2751b137f57e92f878d531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