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天津医科大学郝继辉团队发表的文章存在图片重复使用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16:05:06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547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）或直接搬运Pubpeer网站/诚信科研/iPubpeers公众号，读者6注意辨别号称具有”李鬼样“的检测系统，免得受骗上当。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）；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231" cy="232723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193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231" cy="232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hd w:val="clear" w:color="auto" w:fill="FFFFFF"/>
        <w:spacing w:before="0" w:after="240" w:line="420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日天津医科大学郝继辉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JOURNAL OF MEDICINAL CHEMISTRY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Novel Indoleamine-2,3-Dioxygenase-Targeted Pt(IV) Prodrugs Regulate the Tumor Immune Microenvironment to Achieve Chemoimmunotherapy In Vitro and In Vivo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文章内存在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对图片重复。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98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4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76500" cy="12477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43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对所有图片进行检测，iFigures发现文章1对图片出现重叠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图3A-10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79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93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，更正重复的图片。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450"/>
        <w:jc w:val="left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</w:pPr>
    </w:p>
    <w:p>
      <w:pPr>
        <w:shd w:val="clear" w:color="auto" w:fill="FFFFFF"/>
        <w:spacing w:before="150" w:after="150" w:line="384" w:lineRule="atLeast"/>
        <w:ind w:left="300" w:right="300"/>
        <w:rPr>
          <w:rStyle w:val="any"/>
          <w:rFonts w:ascii="微软雅黑" w:eastAsia="微软雅黑" w:hAnsi="微软雅黑" w:cs="微软雅黑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spacing w:val="9"/>
          <w:u w:val="none"/>
        </w:rPr>
        <w:drawing>
          <wp:inline>
            <wp:extent cx="1524000" cy="80446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92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5"/>
          <w:szCs w:val="15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公众号原创</w:t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未经授权禁止转载</w:t>
      </w:r>
    </w:p>
    <w:p>
      <w:pP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2457450" cy="245745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65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3"/>
          <w:szCs w:val="23"/>
        </w:rPr>
        <w:t>诚信科研，专注于撤稿文章报道。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right"/>
        <w:rPr>
          <w:rStyle w:val="any"/>
          <w:rFonts w:ascii="微软雅黑" w:eastAsia="微软雅黑" w:hAnsi="微软雅黑" w:cs="微软雅黑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jpeg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14&amp;idx=1&amp;sn=9e2c6d9f193b7eba9d77278e64cfc0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