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铁证？南通大学党委书记、校长</w:t>
        </w:r>
        <w:r>
          <w:rPr>
            <w:rStyle w:val="a"/>
            <w:rFonts w:ascii="Times New Roman" w:eastAsia="Times New Roman" w:hAnsi="Times New Roman" w:cs="Times New Roman"/>
            <w:b w:val="0"/>
            <w:bCs w:val="0"/>
            <w:spacing w:val="8"/>
          </w:rPr>
          <w:t>Yang, Yuming Min</w:t>
        </w:r>
        <w:r>
          <w:rPr>
            <w:rStyle w:val="a"/>
            <w:rFonts w:ascii="PMingLiU" w:eastAsia="PMingLiU" w:hAnsi="PMingLiU" w:cs="PMingLiU"/>
            <w:b w:val="0"/>
            <w:bCs w:val="0"/>
            <w:spacing w:val="8"/>
          </w:rPr>
          <w:t>（音译：杨宇明）团队论文被质疑，背后国自然基金所去何处？</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2025-04-11 18:27:24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35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31398" name=""/>
                    <pic:cNvPicPr>
                      <a:picLocks noChangeAspect="1"/>
                    </pic:cNvPicPr>
                  </pic:nvPicPr>
                  <pic:blipFill>
                    <a:blip xmlns:r="http://schemas.openxmlformats.org/officeDocument/2006/relationships" r:embed="rId6"/>
                    <a:stretch>
                      <a:fillRect/>
                    </a:stretch>
                  </pic:blipFill>
                  <pic:spPr>
                    <a:xfrm>
                      <a:off x="0" y="0"/>
                      <a:ext cx="5486400" cy="3083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2020年1月1日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Application of conductive PPy/SF composite scaffold and electrical stimulation for neural tissue engineering（导电PPy / SF复合支架及电刺激在神经组织工程中的应用）的论文在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Biomaterials》期刊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10.1016/j.biomaterials.2020.120164。</w:t>
      </w:r>
      <w:r>
        <w:rPr>
          <w:rStyle w:val="any"/>
          <w:rFonts w:ascii="微软雅黑" w:eastAsia="微软雅黑" w:hAnsi="微软雅黑" w:cs="微软雅黑"/>
          <w:spacing w:val="8"/>
        </w:rPr>
        <w:t>2025年4月</w:t>
      </w:r>
      <w:r>
        <w:rPr>
          <w:rStyle w:val="any"/>
          <w:rFonts w:ascii="微软雅黑" w:eastAsia="微软雅黑" w:hAnsi="微软雅黑" w:cs="微软雅黑"/>
          <w:spacing w:val="8"/>
        </w:rPr>
        <w:t>，</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学术监督平台上，</w:t>
      </w:r>
      <w:r>
        <w:rPr>
          <w:rStyle w:val="any"/>
          <w:rFonts w:ascii="微软雅黑" w:eastAsia="微软雅黑" w:hAnsi="微软雅黑" w:cs="微软雅黑"/>
          <w:spacing w:val="8"/>
        </w:rPr>
        <w:t>多名国际学术打假人对该论文提出质疑。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Archasia belfragei</w:t>
      </w:r>
      <w:r>
        <w:rPr>
          <w:rStyle w:val="any"/>
          <w:rFonts w:ascii="PMingLiU" w:eastAsia="PMingLiU" w:hAnsi="PMingLiU" w:cs="PMingLiU"/>
          <w:b/>
          <w:bCs/>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5A</w:t>
      </w:r>
      <w:r>
        <w:rPr>
          <w:rStyle w:val="any"/>
          <w:rFonts w:ascii="PMingLiU" w:eastAsia="PMingLiU" w:hAnsi="PMingLiU" w:cs="PMingLiU"/>
          <w:b w:val="0"/>
          <w:bCs w:val="0"/>
          <w:i w:val="0"/>
          <w:iCs w:val="0"/>
          <w:caps w:val="0"/>
          <w:color w:val="333333"/>
          <w:spacing w:val="0"/>
          <w:sz w:val="23"/>
          <w:szCs w:val="23"/>
        </w:rPr>
        <w:t>包含两个看起来比预期更相似的面板</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作者能否澄清一下？</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类似地，图</w:t>
      </w:r>
      <w:r>
        <w:rPr>
          <w:rStyle w:val="any"/>
          <w:rFonts w:ascii="Arial" w:eastAsia="Arial" w:hAnsi="Arial" w:cs="Arial"/>
          <w:b w:val="0"/>
          <w:bCs w:val="0"/>
          <w:i w:val="0"/>
          <w:iCs w:val="0"/>
          <w:caps w:val="0"/>
          <w:color w:val="333333"/>
          <w:spacing w:val="0"/>
          <w:sz w:val="23"/>
          <w:szCs w:val="23"/>
        </w:rPr>
        <w:t>6</w:t>
      </w:r>
      <w:r>
        <w:rPr>
          <w:rStyle w:val="any"/>
          <w:rFonts w:ascii="PMingLiU" w:eastAsia="PMingLiU" w:hAnsi="PMingLiU" w:cs="PMingLiU"/>
          <w:b w:val="0"/>
          <w:bCs w:val="0"/>
          <w:i w:val="0"/>
          <w:iCs w:val="0"/>
          <w:caps w:val="0"/>
          <w:color w:val="333333"/>
          <w:spacing w:val="0"/>
          <w:sz w:val="23"/>
          <w:szCs w:val="23"/>
        </w:rPr>
        <w:t>包含两个可能重叠的面板</w:t>
      </w:r>
      <w:r>
        <w:rPr>
          <w:rStyle w:val="any"/>
          <w:rFonts w:ascii="Arial" w:eastAsia="Arial" w:hAnsi="Arial" w:cs="Arial"/>
          <w:b w:val="0"/>
          <w:bCs w:val="0"/>
          <w:i w:val="0"/>
          <w:iCs w:val="0"/>
          <w:caps w:val="0"/>
          <w:color w:val="333333"/>
          <w:spacing w:val="0"/>
          <w:sz w:val="23"/>
          <w:szCs w:val="23"/>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strike w:val="0"/>
          <w:color w:val="333333"/>
          <w:spacing w:val="0"/>
          <w:sz w:val="23"/>
          <w:szCs w:val="23"/>
          <w:u w:val="none"/>
        </w:rPr>
        <w:drawing>
          <wp:inline>
            <wp:extent cx="10287000" cy="45434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024361" name=""/>
                    <pic:cNvPicPr>
                      <a:picLocks noChangeAspect="1"/>
                    </pic:cNvPicPr>
                  </pic:nvPicPr>
                  <pic:blipFill>
                    <a:blip xmlns:r="http://schemas.openxmlformats.org/officeDocument/2006/relationships" r:embed="rId7"/>
                    <a:stretch>
                      <a:fillRect/>
                    </a:stretch>
                  </pic:blipFill>
                  <pic:spPr>
                    <a:xfrm>
                      <a:off x="0" y="0"/>
                      <a:ext cx="10287000" cy="4543425"/>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Illex illecebrosus</w:t>
      </w:r>
      <w:r>
        <w:rPr>
          <w:rStyle w:val="any"/>
          <w:rFonts w:ascii="PMingLiU" w:eastAsia="PMingLiU" w:hAnsi="PMingLiU" w:cs="PMingLiU"/>
          <w:b/>
          <w:bCs/>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bCs/>
          <w:i w:val="0"/>
          <w:iCs w:val="0"/>
          <w:caps w:val="0"/>
          <w:color w:val="333333"/>
          <w:spacing w:val="0"/>
          <w:sz w:val="23"/>
          <w:szCs w:val="23"/>
        </w:rPr>
        <w:t>点击</w:t>
      </w:r>
      <w:r>
        <w:rPr>
          <w:rStyle w:val="any"/>
          <w:rFonts w:ascii="PMingLiU" w:eastAsia="PMingLiU" w:hAnsi="PMingLiU" w:cs="PMingLiU"/>
          <w:b/>
          <w:bCs/>
          <w:i w:val="0"/>
          <w:iCs w:val="0"/>
          <w:caps w:val="0"/>
          <w:color w:val="333333"/>
          <w:spacing w:val="0"/>
          <w:sz w:val="23"/>
          <w:szCs w:val="23"/>
        </w:rPr>
        <w:t>这里</w:t>
      </w:r>
      <w:r>
        <w:rPr>
          <w:rStyle w:val="any"/>
          <w:rFonts w:ascii="PMingLiU" w:eastAsia="PMingLiU" w:hAnsi="PMingLiU" w:cs="PMingLiU"/>
          <w:b/>
          <w:bCs/>
          <w:i w:val="0"/>
          <w:iCs w:val="0"/>
          <w:caps w:val="0"/>
          <w:color w:val="333333"/>
          <w:spacing w:val="0"/>
          <w:sz w:val="23"/>
          <w:szCs w:val="23"/>
        </w:rPr>
        <w:t>查看基于上述问题的动画视频。</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strike w:val="0"/>
          <w:color w:val="333333"/>
          <w:spacing w:val="0"/>
          <w:sz w:val="23"/>
          <w:szCs w:val="23"/>
          <w:u w:val="none"/>
        </w:rPr>
        <w:drawing>
          <wp:inline>
            <wp:extent cx="5486400" cy="30861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37038" name=""/>
                    <pic:cNvPicPr>
                      <a:picLocks noChangeAspect="1"/>
                    </pic:cNvPicPr>
                  </pic:nvPicPr>
                  <pic:blipFill>
                    <a:blip xmlns:r="http://schemas.openxmlformats.org/officeDocument/2006/relationships" r:embed="rId8"/>
                    <a:stretch>
                      <a:fillRect/>
                    </a:stretch>
                  </pic:blipFill>
                  <pic:spPr>
                    <a:xfrm>
                      <a:off x="0" y="0"/>
                      <a:ext cx="5486400" cy="3086100"/>
                    </a:xfrm>
                    <a:prstGeom prst="rect">
                      <a:avLst/>
                    </a:prstGeom>
                    <a:ln>
                      <a:noFill/>
                    </a:ln>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其他可用的动画</w:t>
      </w:r>
      <w:r>
        <w:rPr>
          <w:rStyle w:val="any"/>
          <w:rFonts w:ascii="PMingLiU" w:eastAsia="PMingLiU" w:hAnsi="PMingLiU" w:cs="PMingLiU"/>
          <w:b/>
          <w:bCs/>
          <w:i w:val="0"/>
          <w:iCs w:val="0"/>
          <w:caps w:val="0"/>
          <w:color w:val="333333"/>
          <w:spacing w:val="0"/>
          <w:sz w:val="23"/>
          <w:szCs w:val="23"/>
        </w:rPr>
        <w:t>这里</w:t>
      </w:r>
      <w:r>
        <w:rPr>
          <w:rStyle w:val="any"/>
          <w:rFonts w:ascii="PMingLiU" w:eastAsia="PMingLiU" w:hAnsi="PMingLiU" w:cs="PMingLiU"/>
          <w:b w:val="0"/>
          <w:bCs w:val="0"/>
          <w:i w:val="0"/>
          <w:iCs w:val="0"/>
          <w:caps w:val="0"/>
          <w:color w:val="333333"/>
          <w:spacing w:val="0"/>
          <w:sz w:val="23"/>
          <w:szCs w:val="23"/>
        </w:rPr>
        <w:t>。相关</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帖子的链接在描述中。请注意，我们不做任何判断，只是简单地想象他人的观察。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微软雅黑" w:eastAsia="微软雅黑" w:hAnsi="微软雅黑" w:cs="微软雅黑"/>
          <w:spacing w:val="8"/>
        </w:rPr>
        <w:t>用导电聚合物的电刺激（ES）可以大大增强神经突生长并促进神经再生。但是，除ES外，神经修复的实际应用还高度取决于神经细胞功能和对底物电导率的响应。因此，ES和合适材料（例如组织支架）的组合已应用于促进神经损伤的治疗，并在周围神经再生中表现出巨大的潜力。在这项研究中，通过3D生物打印和静电纺丝制造了多吡咯/丝绸纤维蛋白（PPY/SF）导电复合支架。刺激这些支架上的Schwann细胞被电刺激，因此表现出增强的生存力，增殖和迁移，以及神经营养因子的上调。此外，伴随ES伴随的构建的PPY/SF导电神经引导导管可以有效地促进轴突再生和体内的再生。此外，我们发现MAPKS信号转导途径在导电导管处被ES激活。我们的发现表明，具有纵向指导的PPY/SF导电复合支架具有临床使用的有利特性，并促进了神经再生和功能恢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535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31384" name=""/>
                    <pic:cNvPicPr>
                      <a:picLocks noChangeAspect="1"/>
                    </pic:cNvPicPr>
                  </pic:nvPicPr>
                  <pic:blipFill>
                    <a:blip xmlns:r="http://schemas.openxmlformats.org/officeDocument/2006/relationships" r:embed="rId9"/>
                    <a:stretch>
                      <a:fillRect/>
                    </a:stretch>
                  </pic:blipFill>
                  <pic:spPr>
                    <a:xfrm>
                      <a:off x="0" y="0"/>
                      <a:ext cx="5486400" cy="38535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国家自然科学基金重点项目[31830028]；国家重点研发计划项目[2018YFC1105603, 2018YFC1105604]；国家自然科学基金项目[81701835,81671823,31771054]；江苏省重点医学中心；江苏省政府留学奖学金（2018-2019）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通讯作者之一：</w:t>
      </w:r>
      <w:r>
        <w:rPr>
          <w:rStyle w:val="any"/>
          <w:rFonts w:ascii="Times New Roman" w:eastAsia="Times New Roman" w:hAnsi="Times New Roman" w:cs="Times New Roman"/>
          <w:spacing w:val="8"/>
        </w:rPr>
        <w:t>Yang, Yuming Min</w:t>
      </w:r>
      <w:r>
        <w:rPr>
          <w:rStyle w:val="any"/>
          <w:rFonts w:ascii="PMingLiU" w:eastAsia="PMingLiU" w:hAnsi="PMingLiU" w:cs="PMingLiU"/>
          <w:spacing w:val="8"/>
        </w:rPr>
        <w:t>（音译：杨宇明）</w:t>
      </w:r>
      <w:r>
        <w:rPr>
          <w:rStyle w:val="any"/>
          <w:rFonts w:ascii="微软雅黑" w:eastAsia="微软雅黑" w:hAnsi="微软雅黑" w:cs="微软雅黑"/>
          <w:spacing w:val="8"/>
        </w:rPr>
        <w:t>，疑为</w:t>
      </w:r>
      <w:r>
        <w:rPr>
          <w:rStyle w:val="any"/>
          <w:rFonts w:ascii="PMingLiU" w:eastAsia="PMingLiU" w:hAnsi="PMingLiU" w:cs="PMingLiU"/>
          <w:spacing w:val="8"/>
        </w:rPr>
        <w:t>南通大学党委书记、校长。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https://pubpeer.com/publications/9413C7B26D8AB88553573D5532CA71#0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https://www.sciencedirect.com/science/article/abs/pii/S0142961220304105?via%3Dihub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71&amp;idx=1&amp;sn=b74e6e724e188910c67334130e84ef4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