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（音译：李范朱）团队论文被质疑图像重复，背后有国自然基金支持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47251"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90595"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05877"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10711"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（音译：李范朱），疑为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