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中国医学科学院医药生物技术研究所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Shao Rongguang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（音译：邵容光）团队论文被质疑图像重复，背后有国家科学基金支持！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789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2015年11月10日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he dual topoisomerase inhibitor A35 preferentially and specially targets topoisomerase 2α by enhancing pre-strand and post-strand cleavage and inhibiting DNA religation</w:t>
      </w:r>
      <w:r>
        <w:rPr>
          <w:rStyle w:val="any"/>
          <w:rFonts w:ascii="PMingLiU" w:eastAsia="PMingLiU" w:hAnsi="PMingLiU" w:cs="PMingLiU"/>
          <w:spacing w:val="8"/>
        </w:rPr>
        <w:t>（双拓扑异构酶抑制剂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通过增强链前和链后剪切，抑制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再连接，从而优先和特异地靶向拓扑异构酶</w:t>
      </w:r>
      <w:r>
        <w:rPr>
          <w:rStyle w:val="any"/>
          <w:rFonts w:ascii="Times New Roman" w:eastAsia="Times New Roman" w:hAnsi="Times New Roman" w:cs="Times New Roman"/>
          <w:spacing w:val="8"/>
        </w:rPr>
        <w:t>2 α</w:t>
      </w:r>
      <w:r>
        <w:rPr>
          <w:rStyle w:val="any"/>
          <w:rFonts w:ascii="PMingLiU" w:eastAsia="PMingLiU" w:hAnsi="PMingLiU" w:cs="PMingLiU"/>
          <w:spacing w:val="8"/>
        </w:rPr>
        <w:t>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10.18632/oncotarget.5680。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学术监督平台上，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对该论文提出质疑，认为图像有多处重复。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00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184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拓扑异构酶在肿瘤增殖中起关键作用。靶向拓扑异构酶的化学治疗剂已被广泛用于临床肿瘤学，但耐药性和副作用，尤其是心脏毒性，通常会限制其应用。临床数据表明，拓扑异构酶（</w:t>
      </w:r>
      <w:r>
        <w:rPr>
          <w:rStyle w:val="any"/>
          <w:rFonts w:ascii="Times New Roman" w:eastAsia="Times New Roman" w:hAnsi="Times New Roman" w:cs="Times New Roman"/>
          <w:spacing w:val="8"/>
        </w:rPr>
        <w:t>TOP</w:t>
      </w:r>
      <w:r>
        <w:rPr>
          <w:rStyle w:val="any"/>
          <w:rFonts w:ascii="PMingLiU" w:eastAsia="PMingLiU" w:hAnsi="PMingLiU" w:cs="PMingLiU"/>
          <w:spacing w:val="8"/>
        </w:rPr>
        <w:t>）水平的降低是负责耐药性的主要因素，但是在细胞中，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的水平之间具有补偿性效果。在这里，我们验证了周期性的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绿绿蛋白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，该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是双顶抑制剂，优先针对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TOP2A</w:t>
      </w:r>
      <w:r>
        <w:rPr>
          <w:rStyle w:val="any"/>
          <w:rFonts w:ascii="PMingLiU" w:eastAsia="PMingLiU" w:hAnsi="PMingLiU" w:cs="PMingLiU"/>
          <w:spacing w:val="8"/>
        </w:rPr>
        <w:t>。对</w:t>
      </w:r>
      <w:r>
        <w:rPr>
          <w:rStyle w:val="any"/>
          <w:rFonts w:ascii="Times New Roman" w:eastAsia="Times New Roman" w:hAnsi="Times New Roman" w:cs="Times New Roman"/>
          <w:spacing w:val="8"/>
        </w:rPr>
        <w:t>TOP2α</w:t>
      </w:r>
      <w:r>
        <w:rPr>
          <w:rStyle w:val="any"/>
          <w:rFonts w:ascii="PMingLiU" w:eastAsia="PMingLiU" w:hAnsi="PMingLiU" w:cs="PMingLiU"/>
          <w:spacing w:val="8"/>
        </w:rPr>
        <w:t>催化循环的影响表明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可以插入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，但不会干扰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结合和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 ATPase</w:t>
      </w:r>
      <w:r>
        <w:rPr>
          <w:rStyle w:val="any"/>
          <w:rFonts w:ascii="PMingLiU" w:eastAsia="PMingLiU" w:hAnsi="PMingLiU" w:cs="PMingLiU"/>
          <w:spacing w:val="8"/>
        </w:rPr>
        <w:t>活性。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可以通过增强链前和链后裂解和抑制宗教来促进</w:t>
      </w:r>
      <w:r>
        <w:rPr>
          <w:rStyle w:val="any"/>
          <w:rFonts w:ascii="Times New Roman" w:eastAsia="Times New Roman" w:hAnsi="Times New Roman" w:cs="Times New Roman"/>
          <w:spacing w:val="8"/>
        </w:rPr>
        <w:t>DNA-TOP2α</w:t>
      </w:r>
      <w:r>
        <w:rPr>
          <w:rStyle w:val="any"/>
          <w:rFonts w:ascii="PMingLiU" w:eastAsia="PMingLiU" w:hAnsi="PMingLiU" w:cs="PMingLiU"/>
          <w:spacing w:val="8"/>
        </w:rPr>
        <w:t>裂解复合物的形成，这表明这种化合物可以是拓扑异构酶毒药，并具有其他拓扑异构酶抑制剂的区域机制。</w:t>
      </w:r>
      <w:r>
        <w:rPr>
          <w:rStyle w:val="any"/>
          <w:rFonts w:ascii="Times New Roman" w:eastAsia="Times New Roman" w:hAnsi="Times New Roman" w:cs="Times New Roman"/>
          <w:spacing w:val="8"/>
        </w:rPr>
        <w:t>TARDIS</w:t>
      </w:r>
      <w:r>
        <w:rPr>
          <w:rStyle w:val="any"/>
          <w:rFonts w:ascii="PMingLiU" w:eastAsia="PMingLiU" w:hAnsi="PMingLiU" w:cs="PMingLiU"/>
          <w:spacing w:val="8"/>
        </w:rPr>
        <w:t>和彗星测定法表明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可以诱导细胞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</w:t>
      </w:r>
      <w:r>
        <w:rPr>
          <w:rStyle w:val="any"/>
          <w:rFonts w:ascii="Times New Roman" w:eastAsia="Times New Roman" w:hAnsi="Times New Roman" w:cs="Times New Roman"/>
          <w:spacing w:val="8"/>
        </w:rPr>
        <w:t>DNA-TOP</w:t>
      </w:r>
      <w:r>
        <w:rPr>
          <w:rStyle w:val="any"/>
          <w:rFonts w:ascii="PMingLiU" w:eastAsia="PMingLiU" w:hAnsi="PMingLiU" w:cs="PMingLiU"/>
          <w:spacing w:val="8"/>
        </w:rPr>
        <w:t>复合物，但对心脏毒性诱导剂</w:t>
      </w:r>
      <w:r>
        <w:rPr>
          <w:rStyle w:val="any"/>
          <w:rFonts w:ascii="Times New Roman" w:eastAsia="Times New Roman" w:hAnsi="Times New Roman" w:cs="Times New Roman"/>
          <w:spacing w:val="8"/>
        </w:rPr>
        <w:t>TOP2β</w:t>
      </w:r>
      <w:r>
        <w:rPr>
          <w:rStyle w:val="any"/>
          <w:rFonts w:ascii="PMingLiU" w:eastAsia="PMingLiU" w:hAnsi="PMingLiU" w:cs="PMingLiU"/>
          <w:spacing w:val="8"/>
        </w:rPr>
        <w:t>没有影响。沉默的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TOP1</w:t>
      </w:r>
      <w:r>
        <w:rPr>
          <w:rStyle w:val="any"/>
          <w:rFonts w:ascii="PMingLiU" w:eastAsia="PMingLiU" w:hAnsi="PMingLiU" w:cs="PMingLiU"/>
          <w:spacing w:val="8"/>
        </w:rPr>
        <w:t>增强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断裂和沉默的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减少了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断裂。在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心脏细胞中进一步验证显示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不会干扰细胞增殖和线粒体膜效力。此外，裸鼠的测定进一步证明了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不会损害心脏。我们的工作将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鉴定为一种新型骨骼化合物双重抑制拓扑异构酶，并且主要且主要针对</w:t>
      </w:r>
      <w:r>
        <w:rPr>
          <w:rStyle w:val="any"/>
          <w:rFonts w:ascii="Times New Roman" w:eastAsia="Times New Roman" w:hAnsi="Times New Roman" w:cs="Times New Roman"/>
          <w:spacing w:val="8"/>
        </w:rPr>
        <w:t>Top2 alpha</w:t>
      </w:r>
      <w:r>
        <w:rPr>
          <w:rStyle w:val="any"/>
          <w:rFonts w:ascii="PMingLiU" w:eastAsia="PMingLiU" w:hAnsi="PMingLiU" w:cs="PMingLiU"/>
          <w:spacing w:val="8"/>
        </w:rPr>
        <w:t>，通过干扰所有切割步骤，并且没有心脏细胞和小鼠的心脏验证其无心脏毒性。</w:t>
      </w:r>
      <w:r>
        <w:rPr>
          <w:rStyle w:val="any"/>
          <w:rFonts w:ascii="Times New Roman" w:eastAsia="Times New Roman" w:hAnsi="Times New Roman" w:cs="Times New Roman"/>
          <w:spacing w:val="8"/>
        </w:rPr>
        <w:t>A35</w:t>
      </w:r>
      <w:r>
        <w:rPr>
          <w:rStyle w:val="any"/>
          <w:rFonts w:ascii="PMingLiU" w:eastAsia="PMingLiU" w:hAnsi="PMingLiU" w:cs="PMingLiU"/>
          <w:spacing w:val="8"/>
        </w:rPr>
        <w:t>可能是一种新颖有效的靶向拓扑异构酶剂。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9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2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国家科学基金[81102464，81321004]；国家创新药物重大项目[2014 zx 09201042]；IMB基金。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Shao Rongguang，疑为</w:t>
      </w:r>
      <w:r>
        <w:rPr>
          <w:rStyle w:val="any"/>
          <w:rFonts w:ascii="微软雅黑" w:eastAsia="微软雅黑" w:hAnsi="微软雅黑" w:cs="微软雅黑"/>
          <w:spacing w:val="8"/>
        </w:rPr>
        <w:t>中国医学科学院北京协和医学院医药生物技术研究所医师。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14&amp;idx=4&amp;sn=6441870dce332111369c7166843a2e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