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问题太多，已解释不清！中国药科大学药学院药理系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Hao Hong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（音译：洪浩）团队论文被质疑，背后有国自然基金支持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14:53:50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38700" cy="2971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19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2024年03月21日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TGR5-mediated lateral hypothalamus-dCA3-dorsolateral septum circuit regulates depressive-like behavior in male mice</w:t>
      </w:r>
      <w:r>
        <w:rPr>
          <w:rStyle w:val="any"/>
          <w:rFonts w:ascii="微软雅黑" w:eastAsia="微软雅黑" w:hAnsi="微软雅黑" w:cs="微软雅黑"/>
          <w:spacing w:val="8"/>
        </w:rPr>
        <w:t>（TGR5介导的下丘脑外侧区- dCA3 -背外侧隔环路调节雄性小鼠的抑郁样行为）的论文在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微软雅黑" w:eastAsia="微软雅黑" w:hAnsi="微软雅黑" w:cs="微软雅黑"/>
          <w:spacing w:val="8"/>
        </w:rPr>
        <w:t>Neuron》期刊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10.1016/j.neuron.2024.02.019。</w:t>
      </w:r>
      <w:r>
        <w:rPr>
          <w:rStyle w:val="any"/>
          <w:rFonts w:ascii="微软雅黑" w:eastAsia="微软雅黑" w:hAnsi="微软雅黑" w:cs="微软雅黑"/>
          <w:spacing w:val="8"/>
        </w:rPr>
        <w:t>2024年6月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学术评论</w:t>
      </w:r>
      <w:r>
        <w:rPr>
          <w:rStyle w:val="any"/>
          <w:rFonts w:ascii="微软雅黑" w:eastAsia="微软雅黑" w:hAnsi="微软雅黑" w:cs="微软雅黑"/>
          <w:spacing w:val="8"/>
        </w:rPr>
        <w:t>网站</w:t>
      </w:r>
      <w:r>
        <w:rPr>
          <w:rStyle w:val="any"/>
          <w:rFonts w:ascii="微软雅黑" w:eastAsia="微软雅黑" w:hAnsi="微软雅黑" w:cs="微软雅黑"/>
          <w:spacing w:val="8"/>
        </w:rPr>
        <w:t>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Culicoides guttatus对该论文提出首次质疑，作者也做了相应回复。2025年3月，学术打假人</w:t>
      </w:r>
      <w:r>
        <w:rPr>
          <w:rStyle w:val="any"/>
          <w:rFonts w:ascii="微软雅黑" w:eastAsia="微软雅黑" w:hAnsi="微软雅黑" w:cs="微软雅黑"/>
          <w:spacing w:val="8"/>
        </w:rPr>
        <w:t>Cortinarius sanguineus又做出新的质疑，不仅对数据有质疑，还发现不同实验竟然图像一样。作者解释“</w:t>
      </w:r>
      <w:r>
        <w:rPr>
          <w:rStyle w:val="any"/>
          <w:rFonts w:ascii="微软雅黑" w:eastAsia="微软雅黑" w:hAnsi="微软雅黑" w:cs="微软雅黑"/>
          <w:spacing w:val="8"/>
        </w:rPr>
        <w:t>我们未能充分验证图像，导致同一图像被无意中重复使用。”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29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12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微软雅黑" w:eastAsia="微软雅黑" w:hAnsi="微软雅黑" w:cs="微软雅黑"/>
          <w:spacing w:val="8"/>
        </w:rPr>
        <w:t>尽管胆汁酸在抑郁症中起着显著的作用，但胆汁酸TGR5膜型受体在这种疾病中的病理意义仍然难以捉摸。使用雄性小鼠的慢性社会失败压力和慢性克制压力的抑郁模型，我们发现下丘脑外侧区域（LHA）的TGR5主要降低了GABA能神经元的降低，其兴奋性在抑郁症状的小鼠中增加。LHA中TGR5的上调或抑制GABA能兴奋性明显缓解了类似抑郁症的行为，而TGR5的调节或增强GABAergic兴奋性促进了压力引起的抑郁症状类似行为。TGR5还通过细胞外调节的蛋白激酶依赖性KV4.2通道对LHA GABA能神经元的双向调节兴奋性。值得注意的是，LHA GABA能神经元特异性支配背侧CA3（DCA3）CAMKIIA神经元用于抑郁症状行为。LHA GABA能TGR5通过抑制投射到背外侧隔膜（DLS）的DCA3 CAMKIIA神经元，从而发挥了抗抑郁药的作用。这些发现提高了我们对TGR5和LHA GABA / DCA3-CAMKII A / DLS GABA电路的理解，以开发抑郁症的潜在治疗策略。本研究获得国家自然科学基金委员会[82173805，82001186，82071202，82373860]；SIT 2030重大项目[2021ZD0203400]基金支持。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通讯作者：</w:t>
      </w:r>
      <w:r>
        <w:rPr>
          <w:rStyle w:val="any"/>
          <w:rFonts w:ascii="微软雅黑" w:eastAsia="微软雅黑" w:hAnsi="微软雅黑" w:cs="微软雅黑"/>
          <w:spacing w:val="8"/>
        </w:rPr>
        <w:t>Hao Hong（音译：洪浩）</w:t>
      </w:r>
      <w:r>
        <w:rPr>
          <w:rStyle w:val="any"/>
          <w:rFonts w:ascii="微软雅黑" w:eastAsia="微软雅黑" w:hAnsi="微软雅黑" w:cs="微软雅黑"/>
          <w:spacing w:val="8"/>
        </w:rPr>
        <w:t>，疑为</w:t>
      </w:r>
      <w:r>
        <w:rPr>
          <w:rStyle w:val="any"/>
          <w:rFonts w:ascii="PMingLiU" w:eastAsia="PMingLiU" w:hAnsi="PMingLiU" w:cs="PMingLiU"/>
          <w:spacing w:val="8"/>
        </w:rPr>
        <w:t>中国药科大学药学院药理系教授，博士，博士生导师，课题组长，教育部创新团队成员，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药理公共实验平台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负责人，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神经精神疾病靶标发现与新药评价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校级重点实验室主任。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992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80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质疑信息（节选）：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Metallosphaera hakonensis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这篇文章挺有意思的，我们课题组认真研究过。在阅读这篇文章时，我们注意到了一些问题。</w:t>
      </w:r>
      <w:r>
        <w:rPr>
          <w:rStyle w:val="any"/>
          <w:rFonts w:ascii="Times New Roman" w:eastAsia="Times New Roman" w:hAnsi="Times New Roman" w:cs="Times New Roman"/>
          <w:spacing w:val="8"/>
        </w:rPr>
        <w:t>1.</w:t>
      </w:r>
      <w:r>
        <w:rPr>
          <w:rStyle w:val="any"/>
          <w:rFonts w:ascii="PMingLiU" w:eastAsia="PMingLiU" w:hAnsi="PMingLiU" w:cs="PMingLiU"/>
          <w:spacing w:val="8"/>
        </w:rPr>
        <w:t>我们发现图</w:t>
      </w:r>
      <w:r>
        <w:rPr>
          <w:rStyle w:val="any"/>
          <w:rFonts w:ascii="Times New Roman" w:eastAsia="Times New Roman" w:hAnsi="Times New Roman" w:cs="Times New Roman"/>
          <w:spacing w:val="8"/>
        </w:rPr>
        <w:t>3E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6H</w:t>
      </w:r>
      <w:r>
        <w:rPr>
          <w:rStyle w:val="any"/>
          <w:rFonts w:ascii="PMingLiU" w:eastAsia="PMingLiU" w:hAnsi="PMingLiU" w:cs="PMingLiU"/>
          <w:spacing w:val="8"/>
        </w:rPr>
        <w:t>包含相同的图像，它们被用于完全不同的实验，很难将此解释为图像误用的简单情况。</w:t>
      </w: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>1A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1H</w:t>
      </w:r>
      <w:r>
        <w:rPr>
          <w:rStyle w:val="any"/>
          <w:rFonts w:ascii="PMingLiU" w:eastAsia="PMingLiU" w:hAnsi="PMingLiU" w:cs="PMingLiU"/>
          <w:spacing w:val="8"/>
        </w:rPr>
        <w:t>的部分高度相似，这也是来自完全不同的实验。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8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6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25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61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293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785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Hao Hong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：（作者解释）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谢谢你指出我们论文中的错误。关于你提到的开放区域路径图的问题，在组织控制组数据的过程中，由于数据量大，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我们未能充分验证图像，导致同一图像被无意中重复使用。</w:t>
      </w:r>
      <w:r>
        <w:rPr>
          <w:rStyle w:val="any"/>
          <w:rFonts w:ascii="PMingLiU" w:eastAsia="PMingLiU" w:hAnsi="PMingLiU" w:cs="PMingLiU"/>
          <w:spacing w:val="8"/>
        </w:rPr>
        <w:t>我们真诚地为这一疏忽道歉，并已联系编辑进行更正，以纠正路径图的错误位置。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此外，关于第二张图中的脑切片观察，我们分析了</w:t>
      </w:r>
      <w:r>
        <w:rPr>
          <w:rStyle w:val="any"/>
          <w:rFonts w:ascii="Times New Roman" w:eastAsia="Times New Roman" w:hAnsi="Times New Roman" w:cs="Times New Roman"/>
          <w:spacing w:val="8"/>
        </w:rPr>
        <w:t>TGR5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γ-</w:t>
      </w:r>
      <w:r>
        <w:rPr>
          <w:rStyle w:val="any"/>
          <w:rFonts w:ascii="PMingLiU" w:eastAsia="PMingLiU" w:hAnsi="PMingLiU" w:cs="PMingLiU"/>
          <w:spacing w:val="8"/>
        </w:rPr>
        <w:t>氨基丁酸能神经元中的共表达。图</w:t>
      </w:r>
      <w:r>
        <w:rPr>
          <w:rStyle w:val="any"/>
          <w:rFonts w:ascii="Times New Roman" w:eastAsia="Times New Roman" w:hAnsi="Times New Roman" w:cs="Times New Roman"/>
          <w:spacing w:val="8"/>
        </w:rPr>
        <w:t>1A</w:t>
      </w:r>
      <w:r>
        <w:rPr>
          <w:rStyle w:val="any"/>
          <w:rFonts w:ascii="PMingLiU" w:eastAsia="PMingLiU" w:hAnsi="PMingLiU" w:cs="PMingLiU"/>
          <w:spacing w:val="8"/>
        </w:rPr>
        <w:t>显示了</w:t>
      </w:r>
      <w:r>
        <w:rPr>
          <w:rStyle w:val="any"/>
          <w:rFonts w:ascii="Times New Roman" w:eastAsia="Times New Roman" w:hAnsi="Times New Roman" w:cs="Times New Roman"/>
          <w:spacing w:val="8"/>
        </w:rPr>
        <w:t>TGR5</w:t>
      </w:r>
      <w:r>
        <w:rPr>
          <w:rStyle w:val="any"/>
          <w:rFonts w:ascii="PMingLiU" w:eastAsia="PMingLiU" w:hAnsi="PMingLiU" w:cs="PMingLiU"/>
          <w:spacing w:val="8"/>
        </w:rPr>
        <w:t>单独与</w:t>
      </w:r>
      <w:r>
        <w:rPr>
          <w:rStyle w:val="any"/>
          <w:rFonts w:ascii="Times New Roman" w:eastAsia="Times New Roman" w:hAnsi="Times New Roman" w:cs="Times New Roman"/>
          <w:spacing w:val="8"/>
        </w:rPr>
        <w:t>DAPI</w:t>
      </w:r>
      <w:r>
        <w:rPr>
          <w:rStyle w:val="any"/>
          <w:rFonts w:ascii="PMingLiU" w:eastAsia="PMingLiU" w:hAnsi="PMingLiU" w:cs="PMingLiU"/>
          <w:spacing w:val="8"/>
        </w:rPr>
        <w:t>的共染色结果，而图</w:t>
      </w:r>
      <w:r>
        <w:rPr>
          <w:rStyle w:val="any"/>
          <w:rFonts w:ascii="Times New Roman" w:eastAsia="Times New Roman" w:hAnsi="Times New Roman" w:cs="Times New Roman"/>
          <w:spacing w:val="8"/>
        </w:rPr>
        <w:t>1H</w:t>
      </w:r>
      <w:r>
        <w:rPr>
          <w:rStyle w:val="any"/>
          <w:rFonts w:ascii="PMingLiU" w:eastAsia="PMingLiU" w:hAnsi="PMingLiU" w:cs="PMingLiU"/>
          <w:spacing w:val="8"/>
        </w:rPr>
        <w:t>进一步说明了</w:t>
      </w:r>
      <w:r>
        <w:rPr>
          <w:rStyle w:val="any"/>
          <w:rFonts w:ascii="Times New Roman" w:eastAsia="Times New Roman" w:hAnsi="Times New Roman" w:cs="Times New Roman"/>
          <w:spacing w:val="8"/>
        </w:rPr>
        <w:t>TGR5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GABA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DAPI</w:t>
      </w:r>
      <w:r>
        <w:rPr>
          <w:rStyle w:val="any"/>
          <w:rFonts w:ascii="PMingLiU" w:eastAsia="PMingLiU" w:hAnsi="PMingLiU" w:cs="PMingLiU"/>
          <w:spacing w:val="8"/>
        </w:rPr>
        <w:t>的三通道共染色，其中</w:t>
      </w:r>
      <w:r>
        <w:rPr>
          <w:rStyle w:val="any"/>
          <w:rFonts w:ascii="Times New Roman" w:eastAsia="Times New Roman" w:hAnsi="Times New Roman" w:cs="Times New Roman"/>
          <w:spacing w:val="8"/>
        </w:rPr>
        <w:t>GABA</w:t>
      </w:r>
      <w:r>
        <w:rPr>
          <w:rStyle w:val="any"/>
          <w:rFonts w:ascii="PMingLiU" w:eastAsia="PMingLiU" w:hAnsi="PMingLiU" w:cs="PMingLiU"/>
          <w:spacing w:val="8"/>
        </w:rPr>
        <w:t>抗体在</w:t>
      </w:r>
      <w:r>
        <w:rPr>
          <w:rStyle w:val="any"/>
          <w:rFonts w:ascii="Times New Roman" w:eastAsia="Times New Roman" w:hAnsi="Times New Roman" w:cs="Times New Roman"/>
          <w:spacing w:val="8"/>
        </w:rPr>
        <w:t>TGR5</w:t>
      </w:r>
      <w:r>
        <w:rPr>
          <w:rStyle w:val="any"/>
          <w:rFonts w:ascii="PMingLiU" w:eastAsia="PMingLiU" w:hAnsi="PMingLiU" w:cs="PMingLiU"/>
          <w:spacing w:val="8"/>
        </w:rPr>
        <w:t>染色后被孵育。这些数据是从</w:t>
      </w:r>
      <w:r>
        <w:rPr>
          <w:rStyle w:val="any"/>
          <w:rFonts w:ascii="Times New Roman" w:eastAsia="Times New Roman" w:hAnsi="Times New Roman" w:cs="Times New Roman"/>
          <w:spacing w:val="8"/>
        </w:rPr>
        <w:t>CSDS</w:t>
      </w:r>
      <w:r>
        <w:rPr>
          <w:rStyle w:val="any"/>
          <w:rFonts w:ascii="PMingLiU" w:eastAsia="PMingLiU" w:hAnsi="PMingLiU" w:cs="PMingLiU"/>
          <w:spacing w:val="8"/>
        </w:rPr>
        <w:t>模型的正常对照组获得的，旨在验证</w:t>
      </w:r>
      <w:r>
        <w:rPr>
          <w:rStyle w:val="any"/>
          <w:rFonts w:ascii="Times New Roman" w:eastAsia="Times New Roman" w:hAnsi="Times New Roman" w:cs="Times New Roman"/>
          <w:spacing w:val="8"/>
        </w:rPr>
        <w:t>TGR5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γ-</w:t>
      </w:r>
      <w:r>
        <w:rPr>
          <w:rStyle w:val="any"/>
          <w:rFonts w:ascii="PMingLiU" w:eastAsia="PMingLiU" w:hAnsi="PMingLiU" w:cs="PMingLiU"/>
          <w:spacing w:val="8"/>
        </w:rPr>
        <w:t>氨基丁酸能神经元之间的关系。因此，重要的是澄清这不是图</w:t>
      </w:r>
      <w:r>
        <w:rPr>
          <w:rStyle w:val="any"/>
          <w:rFonts w:ascii="Times New Roman" w:eastAsia="Times New Roman" w:hAnsi="Times New Roman" w:cs="Times New Roman"/>
          <w:spacing w:val="8"/>
        </w:rPr>
        <w:t>1A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1H</w:t>
      </w:r>
      <w:r>
        <w:rPr>
          <w:rStyle w:val="any"/>
          <w:rFonts w:ascii="PMingLiU" w:eastAsia="PMingLiU" w:hAnsi="PMingLiU" w:cs="PMingLiU"/>
          <w:spacing w:val="8"/>
        </w:rPr>
        <w:t>之间的重复图片。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我们注意到作者的解释内容有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我们未能充分验证图像，导致同一图像被无意中重复使用。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科研一是件多么严肃严谨的事情，居然未验证？无意中重复？很是无语啊！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https://pubpeer.com/publications/35AA3DF451EE02BB2EC30D28F2D19D#0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https://pubmed.ncbi.nlm.nih.gov/38518778/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07&amp;idx=3&amp;sn=e1b11457c85c2dfe4794258cbbfd4b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