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多次更正，多次错误！中国医学科学院北京协和医学院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Xiaobo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论文被反复质疑，背后有多项国自然基金支持！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14:45:07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81650" cy="2495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69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Elisabeth M Bik针对论文：</w:t>
      </w:r>
      <w:r>
        <w:rPr>
          <w:rStyle w:val="any"/>
          <w:rFonts w:ascii="微软雅黑" w:eastAsia="微软雅黑" w:hAnsi="微软雅黑" w:cs="微软雅黑"/>
          <w:spacing w:val="8"/>
        </w:rPr>
        <w:t>Ginsenoside Re Attenuates High Glucose-Induced RF/6A Injury via Regulating PI3K/AKT Inhibited HIF-1α/VEGF Signaling Pathway（</w:t>
      </w:r>
      <w:r>
        <w:rPr>
          <w:rStyle w:val="any"/>
          <w:rFonts w:ascii="微软雅黑" w:eastAsia="微软雅黑" w:hAnsi="微软雅黑" w:cs="微软雅黑"/>
          <w:spacing w:val="8"/>
        </w:rPr>
        <w:t>人参皂苷Re通过调节PI3K / AKT抑制HIF-1α / VEGF信号通路减轻高糖诱导的RF / 6A损伤）提出质疑，论文通讯作者：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Xiaobo Sun，疑为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中国医学科学院北京协和医学院教授，中国医学科学院药用植物研究所所长。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Xie Weijie; Zhou Ping; Qu Muwen; Dai Ziru; Zhang Xuelian; Zhang Chenyang; Dong Xi; Sun Guibo（</w:t>
      </w:r>
      <w:r>
        <w:rPr>
          <w:rStyle w:val="any"/>
          <w:rFonts w:ascii="微软雅黑" w:eastAsia="微软雅黑" w:hAnsi="微软雅黑" w:cs="微软雅黑"/>
          <w:spacing w:val="8"/>
        </w:rPr>
        <w:t>通讯作者）; Sun Xiaobo（</w:t>
      </w:r>
      <w:r>
        <w:rPr>
          <w:rStyle w:val="any"/>
          <w:rFonts w:ascii="微软雅黑" w:eastAsia="微软雅黑" w:hAnsi="微软雅黑" w:cs="微软雅黑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 北京协和医学院和中国科学院植物研究所   [2] 中国医学科学院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高血糖引起的视网膜微血管内皮细胞凋亡是糖尿病性视网膜病（DR）的关键和原理事件，涉及一系列复杂的过程，例如线粒体功能障碍和氧化应激。人参的主要成分Ginsenoside RE（RE）被认为具有各种药理功能，例如抗氧化，抑制炎症和抗凋亡特性。但是，RE在DR中的影响以及高葡萄糖（HG）暴露引起的内皮细胞损伤的相关机制尚不清楚。本研究旨在调查和评估RE改善HG诱导的视网膜内皮RF/6A细胞损伤的能力，以及缺氧诱导因子-1-Alpha（HIF-1 Alpha）/血管内皮内皮生长因子（VEGF）信号的潜在机制（HIF-1 Alpha）/血管内皮因素（VEGF）。我们的结果表明，通过逆转HG引起的RF/6A细胞活力降低，凋亡率下调和抑制氧化相关酶的降低，从而施加了细胞保护作用，从而减少了过量的细胞内部反应性氧气（ROS）和HG触发的RF/6AA Aa Aa AA A损伤。此外，Western印迹分析结果表明，人参皂苷在细胞质中显著增加了HIF-1α表达，但降低了其在核中的表达，这表明它会降低HIF-1 alpha从细胞质到核的易位，并下调了VEGF水平。此外，这种效应涉及PI3K/AKT途径的激活。LY294002是一种PI3K抑制剂，用于阻断AKT途径。之后，RE对凋亡相关蛋白，VEGF和HIF-1α核转录的调节的影响部分逆转。这些发现表明，人参皂苷RE的保护作用与调节PI3K/AKT和HIF-1 Alpha/VEGF信号传导途径有关，这表明Ginsenoside可能会减轻HG诱导的视网膜血管生成，并暗示RE为DR疗法的发展潜力。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微生物学前沿、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基金支持</w:t>
      </w:r>
      <w:r>
        <w:rPr>
          <w:rStyle w:val="any"/>
          <w:rFonts w:ascii="微软雅黑" w:eastAsia="微软雅黑" w:hAnsi="微软雅黑" w:cs="微软雅黑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北京自然科学基金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[7184229]</w:t>
      </w:r>
      <w:r>
        <w:rPr>
          <w:rStyle w:val="any"/>
          <w:rFonts w:ascii="PMingLiU" w:eastAsia="PMingLiU" w:hAnsi="PMingLiU" w:cs="PMingLiU"/>
          <w:spacing w:val="8"/>
        </w:rPr>
        <w:t>；中国医学科学院</w:t>
      </w:r>
      <w:r>
        <w:rPr>
          <w:rStyle w:val="any"/>
          <w:rFonts w:ascii="Times New Roman" w:eastAsia="Times New Roman" w:hAnsi="Times New Roman" w:cs="Times New Roman"/>
          <w:spacing w:val="8"/>
        </w:rPr>
        <w:t>(CAMS)</w:t>
      </w:r>
      <w:r>
        <w:rPr>
          <w:rStyle w:val="any"/>
          <w:rFonts w:ascii="PMingLiU" w:eastAsia="PMingLiU" w:hAnsi="PMingLiU" w:cs="PMingLiU"/>
          <w:spacing w:val="8"/>
        </w:rPr>
        <w:t>创新医学倡议</w:t>
      </w:r>
      <w:r>
        <w:rPr>
          <w:rStyle w:val="any"/>
          <w:rFonts w:ascii="Times New Roman" w:eastAsia="Times New Roman" w:hAnsi="Times New Roman" w:cs="Times New Roman"/>
          <w:spacing w:val="8"/>
        </w:rPr>
        <w:t>[CAMS-I2M-1-010]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CAMS</w:t>
      </w:r>
      <w:r>
        <w:rPr>
          <w:rStyle w:val="any"/>
          <w:rFonts w:ascii="PMingLiU" w:eastAsia="PMingLiU" w:hAnsi="PMingLiU" w:cs="PMingLiU"/>
          <w:spacing w:val="8"/>
        </w:rPr>
        <w:t>医学科学创新基金</w:t>
      </w:r>
      <w:r>
        <w:rPr>
          <w:rStyle w:val="any"/>
          <w:rFonts w:ascii="Times New Roman" w:eastAsia="Times New Roman" w:hAnsi="Times New Roman" w:cs="Times New Roman"/>
          <w:spacing w:val="8"/>
        </w:rPr>
        <w:t>(cif ms)[2017-I2M-1-013]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[81503289]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10.3389/fphar.2020.00695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:https://www.frontiersin.org/journals/pharmacology/articles/10.3389/fphar. 2020.01312/full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在原始文章中，发布的图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7C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“+”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“-”</w:t>
      </w:r>
      <w:r>
        <w:rPr>
          <w:rStyle w:val="any"/>
          <w:rFonts w:ascii="PMingLiU" w:eastAsia="PMingLiU" w:hAnsi="PMingLiU" w:cs="PMingLiU"/>
          <w:spacing w:val="8"/>
        </w:rPr>
        <w:t>符号放错了位置。修正后的图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如下。作者为这个错误道歉，并声明这不会以任何方式改变文章的科学结论。原文章已更新。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第二次更正，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 . frontier sin . org/journals/pharmacology/articles/10.3389/fphar . 1451696/full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在最初的文章中，发表的数字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肌动蛋白的蛋白带错位。更正后的图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及其标题如下所示。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1**: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以下是最初发布的图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3A(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月的修正版的对比。虽然更正的措词表明，在图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中只更正了</w:t>
      </w:r>
      <w:r>
        <w:rPr>
          <w:rStyle w:val="any"/>
          <w:rFonts w:ascii="Times New Roman" w:eastAsia="Times New Roman" w:hAnsi="Times New Roman" w:cs="Times New Roman"/>
          <w:spacing w:val="8"/>
        </w:rPr>
        <w:t>+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符号，但图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中的所有四个面板也已被不同的照片所取代。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作者能澄清一下吗？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0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82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>7C(</w:t>
      </w:r>
      <w:r>
        <w:rPr>
          <w:rStyle w:val="any"/>
          <w:rFonts w:ascii="PMingLiU" w:eastAsia="PMingLiU" w:hAnsi="PMingLiU" w:cs="PMingLiU"/>
          <w:spacing w:val="8"/>
        </w:rPr>
        <w:t>更正错误地提到了图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7B**)</w:t>
      </w:r>
      <w:r>
        <w:rPr>
          <w:rStyle w:val="any"/>
          <w:rFonts w:ascii="PMingLiU" w:eastAsia="PMingLiU" w:hAnsi="PMingLiU" w:cs="PMingLiU"/>
          <w:spacing w:val="8"/>
        </w:rPr>
        <w:t>正如最初发表的那样</w:t>
      </w:r>
      <w:r>
        <w:rPr>
          <w:rStyle w:val="any"/>
          <w:rFonts w:ascii="Times New Roman" w:eastAsia="Times New Roman" w:hAnsi="Times New Roman" w:cs="Times New Roman"/>
          <w:spacing w:val="8"/>
        </w:rPr>
        <w:t>LaminB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板是相同的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红框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59490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8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4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317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5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https://pubpeer.com/publications/CE9CF797B2E906D34EEC142BE922D6#0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https://www.frontiersin.org/journals/pharmacology/articles/10.3389/fphar.2020.00695/full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229&amp;idx=6&amp;sn=8f11f164b6b52ab6f074e7c95beae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