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SCI/SSCI/CSCD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怎么选？一篇文章破解六大发表层级的黄金法则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17:30:42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57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32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404040"/>
          <w:spacing w:val="8"/>
        </w:rPr>
        <w:t>在学术研究领域，论文发表不仅是成果展示的途径，更是学者职业发展的重要评价指标。</w:t>
      </w:r>
      <w:r>
        <w:rPr>
          <w:rStyle w:val="any"/>
          <w:rFonts w:ascii="PMingLiU" w:eastAsia="PMingLiU" w:hAnsi="PMingLiU" w:cs="PMingLiU"/>
          <w:spacing w:val="8"/>
        </w:rPr>
        <w:t>论文发表的级别通常可以分为六个主要类别。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首先是顶级期刊级别，这类期刊在特定学科领域具有极高的声誉和影响力，其发表的论文往往代表着该领域最前沿和最具创新性的研究成果。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其次是权威核心期刊级别，这些期刊在学科内具有重要地位，对论文的质量和创新性要求也相当高。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然后是一般核心期刊级别，能在这类期刊上发表的论文通常具有一定的学术价值和研究深度。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接下来是普通期刊级别，它为广大研究者提供了一个展示成果的平台。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再之后是内部期刊级别，主要在特定机构或组织内部流通。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最后是会议论文级别，通过学术会议交流和展示研究成果。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404040"/>
          <w:spacing w:val="8"/>
        </w:rPr>
        <w:t>面对全球数以万计的期刊和会议，研究者常陷入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如何选择发表平台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的困惑。本文基于期刊影响力、评审标准及学科特点，梳理论文发表的六个级别，并提供实用策略。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04040"/>
          <w:spacing w:val="8"/>
          <w:u w:val="none"/>
        </w:rPr>
        <w:drawing>
          <wp:inline>
            <wp:extent cx="5486400" cy="490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17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一、国际顶尖期刊：学术金字塔的顶端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国际顶尖期刊（如《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》）以跨学科、高影响力著称，发表的研究往往具有颠覆性创新。例如，《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》曾刊载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CRISPR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基因编辑技术的突破性论文，直接推动生物医学领域的革命。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挑战与策略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录用率极低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：通常不足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10%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，需研究兼具理论深度与应用广度。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评审周期长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：从投稿到发表可能耗时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年以上，适合长期积累的成果。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团队协作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：多由顶尖实验室或跨国团队合作完成，需强资源整合能力。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适用场景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：解决重大科学问题、获得领域广泛关注的原创研究。</w:t>
      </w: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6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二、学科权威期刊：深耕垂直领域的标杆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学科权威期刊聚焦特定领域，如医学的《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The Lancet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》、化学的《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JACS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》。它们在细分领域的影响力甚至超越综合类顶刊。例如，《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IEEE Transactions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》系列期刊是工程技术的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黄金标准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优势与选择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高认可度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：在职称评审、基金申请中权重高。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分区差异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JCR Q1/Q2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期刊需关注研究的前沿性与方法论严谨性。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学科适配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：例如，材料科学可优先选择《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Advanced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适用场景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：领域内重要但非跨学科的突破性研究。</w:t>
      </w: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7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三、国际普通</w:t>
      </w:r>
      <w:r>
        <w:rPr>
          <w:rStyle w:val="any"/>
          <w:rFonts w:ascii="Segoe UI" w:eastAsia="Segoe UI" w:hAnsi="Segoe UI" w:cs="Segoe UI"/>
          <w:i w:val="0"/>
          <w:iCs w:val="0"/>
          <w:caps w:val="0"/>
          <w:color w:val="FF2941"/>
          <w:spacing w:val="0"/>
          <w:sz w:val="27"/>
          <w:szCs w:val="27"/>
        </w:rPr>
        <w:t>SCI/SSCI</w:t>
      </w: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期刊：平衡质量与效率的选择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这类期刊（如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 Q3/Q4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）虽影响力中等，但仍是国际学术交流的主流平台。例如，环境科学领域的《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Environmental Science and Pollution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》收录广泛但门槛相对较低。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投稿建议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注重规范性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：实验设计、数据统计需严格符合国际标准。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避开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水刊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：警惕影响因子骤升骤降、年发文量过大的期刊。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快速发表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：适合需优先抢占研究时效性的工作（如技术改良类论文）。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8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四、国内核心期刊：本土化研究的阵地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中文核心期刊（如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CSSCI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CSCD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）聚焦国内问题，在政策研究、人文社科领域尤为重要。例如，《经济研究》是中国经济学界的权威刊物。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投稿策略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政策相关性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：研究需贴合国家战略或社会热点（如乡村振兴、碳中和）。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语言优势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：避免因英文写作障碍导致国际期刊拒稿。</w:t>
      </w:r>
    </w:p>
    <w:p>
      <w:pPr>
        <w:pStyle w:val="p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评价体系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：部分高校将中文核心与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二区等同，需了解单位政策。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29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五、学术会议：快速传播与前沿探索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在计算机、人工智能等领域，顶级会议（如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CVPR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ACL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）的权威性甚至高于期刊。例如，谷歌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AlphaGo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的早期论文便发表于《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》与机器学习会议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NIPS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投稿考量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截稿周期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：会议通常有固定投稿窗口，需提前规划。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互动机会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：可通过会议报告获得同行直接反馈。</w:t>
      </w:r>
    </w:p>
    <w:p>
      <w:pPr>
        <w:pStyle w:val="p"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分级标准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CCF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（中国计算机学会）会议分级列表是重要参考。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</w:p>
    <w:p>
      <w:pPr>
        <w:widowControl/>
        <w:spacing w:before="0" w:after="0" w:line="384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pict>
          <v:rect id="_x0000_i1030" style="width:6in;height:0.75pt" o:hrpct="1000" o:hrstd="t" o:hrnoshade="t" o:hr="t" filled="t" fillcolor="gray" stroked="f">
            <v:path strokeok="f"/>
          </v:rect>
        </w:pic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2941"/>
          <w:spacing w:val="0"/>
          <w:sz w:val="27"/>
          <w:szCs w:val="27"/>
        </w:rPr>
        <w:t>六、普通期刊及其他：初学者的起点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特点与定位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非核心期刊、地方性刊物适合发表阶段性成果或教学类论文。例如，高校学报可能接受教学方法创新类文章。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注意事项</w:t>
      </w:r>
    </w:p>
    <w:p>
      <w:pPr>
        <w:pStyle w:val="p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警惕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掠夺性期刊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：查证期刊是否被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SCI/Scopus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收录，避免付费即发的陷阱。</w:t>
      </w:r>
    </w:p>
    <w:p>
      <w:pPr>
        <w:pStyle w:val="p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420" w:lineRule="atLeast"/>
        <w:ind w:left="300" w:right="300" w:hanging="210"/>
        <w:jc w:val="left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明确用途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：仅用于结题或职称评审最低要求时选择。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1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选择期刊的三大原则</w:t>
      </w: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404040"/>
          <w:spacing w:val="8"/>
        </w:rPr>
        <w:t>匹配研究价值</w:t>
      </w:r>
      <w:r>
        <w:rPr>
          <w:rStyle w:val="any"/>
          <w:rFonts w:ascii="PMingLiU" w:eastAsia="PMingLiU" w:hAnsi="PMingLiU" w:cs="PMingLiU"/>
          <w:color w:val="404040"/>
          <w:spacing w:val="8"/>
        </w:rPr>
        <w:t>：避免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高投低就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盲目冲顶刊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。</w:t>
      </w: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404040"/>
          <w:spacing w:val="8"/>
        </w:rPr>
        <w:t>关注单位认可度</w:t>
      </w:r>
      <w:r>
        <w:rPr>
          <w:rStyle w:val="any"/>
          <w:rFonts w:ascii="PMingLiU" w:eastAsia="PMingLiU" w:hAnsi="PMingLiU" w:cs="PMingLiU"/>
          <w:color w:val="404040"/>
          <w:spacing w:val="8"/>
        </w:rPr>
        <w:t>：例如，部分高校将中科院分区作为评价标准。</w:t>
      </w:r>
    </w:p>
    <w:p>
      <w:pPr>
        <w:pStyle w:val="anyParagraph"/>
        <w:numPr>
          <w:ilvl w:val="0"/>
          <w:numId w:val="7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404040"/>
          <w:spacing w:val="8"/>
        </w:rPr>
        <w:t>衡量时间成本</w:t>
      </w:r>
      <w:r>
        <w:rPr>
          <w:rStyle w:val="any"/>
          <w:rFonts w:ascii="PMingLiU" w:eastAsia="PMingLiU" w:hAnsi="PMingLiU" w:cs="PMingLiU"/>
          <w:color w:val="404040"/>
          <w:spacing w:val="8"/>
        </w:rPr>
        <w:t>：毕业、项目结题前需预估审稿周期（可通过期刊官网查询）。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2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kern w:val="36"/>
          <w:sz w:val="27"/>
          <w:szCs w:val="27"/>
        </w:rPr>
        <w:t>结语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不同级别的论文发表，对于研究者的学术声誉和职业发展都有着不同程度的影响。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404040"/>
          <w:spacing w:val="8"/>
        </w:rPr>
        <w:t>论文发表级别的选择，本质是对研究质量、职业需求与时间管理的综合权衡。青年学者可遵循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“</w:t>
      </w:r>
      <w:r>
        <w:rPr>
          <w:rStyle w:val="any"/>
          <w:rFonts w:ascii="PMingLiU" w:eastAsia="PMingLiU" w:hAnsi="PMingLiU" w:cs="PMingLiU"/>
          <w:color w:val="404040"/>
          <w:spacing w:val="8"/>
        </w:rPr>
        <w:t>从易到难</w:t>
      </w:r>
      <w:r>
        <w:rPr>
          <w:rStyle w:val="any"/>
          <w:rFonts w:ascii="Times New Roman" w:eastAsia="Times New Roman" w:hAnsi="Times New Roman" w:cs="Times New Roman"/>
          <w:color w:val="404040"/>
          <w:spacing w:val="8"/>
        </w:rPr>
        <w:t>”</w:t>
      </w:r>
      <w:r>
        <w:rPr>
          <w:rStyle w:val="any"/>
          <w:rFonts w:ascii="PMingLiU" w:eastAsia="PMingLiU" w:hAnsi="PMingLiU" w:cs="PMingLiU"/>
          <w:color w:val="404040"/>
          <w:spacing w:val="8"/>
        </w:rPr>
        <w:t>的路径积累经验，同时关注学科动态与期刊评价体系变化，最终找到学术成果与职业发展的最优解。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3997&amp;idx=2&amp;sn=4a1764a6f02edd91552cb13d040dbfc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