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64894"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30582"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36203"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