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基金委通报来啦！又见学者探讨之熟悉身影！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2025-04-11 18:11:04</w:t>
      </w:r>
      <w:r>
        <w:rPr>
          <w:rStyle w:val="richmediametalistem"/>
          <w:rFonts w:ascii="PMingLiU" w:eastAsia="PMingLiU" w:hAnsi="PMingLiU" w:cs="PMingLiU"/>
          <w:color w:val="A5A5A5"/>
          <w:spacing w:val="8"/>
          <w:sz w:val="23"/>
          <w:szCs w:val="23"/>
        </w:rPr>
        <w:t>北京</w:t>
      </w:r>
    </w:p>
    <w:p>
      <w:pPr>
        <w:pStyle w:val="richmediatitle"/>
        <w:pBdr>
          <w:top w:val="none" w:sz="0" w:space="0" w:color="auto"/>
          <w:left w:val="none" w:sz="0" w:space="0" w:color="auto"/>
          <w:right w:val="none" w:sz="0" w:space="0" w:color="auto"/>
        </w:pBdr>
        <w:spacing w:before="0" w:after="195"/>
        <w:ind w:left="300" w:right="300"/>
        <w:rPr>
          <w:rStyle w:val="any"/>
          <w:rFonts w:ascii="Times New Roman" w:eastAsia="Times New Roman" w:hAnsi="Times New Roman" w:cs="Times New Roman"/>
          <w:b w:val="0"/>
          <w:bCs w:val="0"/>
          <w:spacing w:val="8"/>
          <w:sz w:val="33"/>
          <w:szCs w:val="33"/>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经查，边中启作为基金项目评审专家，在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日起），永久取消边中启国家自然科学基金项目申请和参与申请资格（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经查，王发明在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Arial" w:eastAsia="Arial" w:hAnsi="Arial" w:cs="Arial"/>
          <w:spacing w:val="8"/>
        </w:rPr>
        <w:t>“</w:t>
      </w:r>
      <w:r>
        <w:rPr>
          <w:rStyle w:val="any"/>
          <w:rFonts w:ascii="Arial" w:eastAsia="Arial" w:hAnsi="Arial" w:cs="Arial"/>
          <w:spacing w:val="8"/>
        </w:rPr>
        <w:t>USF2-Lnc00492-HMGB1</w:t>
      </w:r>
      <w:r>
        <w:rPr>
          <w:rStyle w:val="any"/>
          <w:rFonts w:ascii="PMingLiU" w:eastAsia="PMingLiU" w:hAnsi="PMingLiU" w:cs="PMingLiU"/>
          <w:spacing w:val="8"/>
        </w:rPr>
        <w:t>信号轴在胰腺癌发生发展中的作用及其机制研究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国家自然科学基金委员会监督委员会对山东某高校附属医院陈磊和山东某医院陈可斌等发表的论文</w:t>
      </w:r>
      <w:r>
        <w:rPr>
          <w:rStyle w:val="any"/>
          <w:rFonts w:ascii="Arial" w:eastAsia="Arial" w:hAnsi="Arial" w:cs="Arial"/>
          <w:spacing w:val="8"/>
        </w:rPr>
        <w:t>“</w:t>
      </w:r>
      <w:r>
        <w:rPr>
          <w:rStyle w:val="any"/>
          <w:rFonts w:ascii="Arial" w:eastAsia="Arial" w:hAnsi="Arial" w:cs="Arial"/>
          <w:spacing w:val="8"/>
        </w:rPr>
        <w:t>Kebin Chen, Lei Chen*, et al. A noninvasive and highly sensitive approach for the assessment of coronary collateral circulation by 192-slice third-generation dual-source computed tomography. Medicine, 2019, 98(38):p e17014.</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81628008</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国家自然科学基金委员会监督委员会对江西某高校甘莉等发表的论文</w:t>
      </w:r>
      <w:r>
        <w:rPr>
          <w:rStyle w:val="any"/>
          <w:rFonts w:ascii="Arial" w:eastAsia="Arial" w:hAnsi="Arial" w:cs="Arial"/>
          <w:spacing w:val="8"/>
        </w:rPr>
        <w:t>“</w:t>
      </w:r>
      <w:r>
        <w:rPr>
          <w:rStyle w:val="any"/>
          <w:rFonts w:ascii="Arial" w:eastAsia="Arial" w:hAnsi="Arial" w:cs="Arial"/>
          <w:spacing w:val="8"/>
        </w:rPr>
        <w:t>Li Gan</w:t>
      </w:r>
      <w:r>
        <w:rPr>
          <w:rStyle w:val="any"/>
          <w:rFonts w:ascii="Arial" w:eastAsia="Arial" w:hAnsi="Arial" w:cs="Arial"/>
          <w:spacing w:val="8"/>
          <w:vertAlign w:val="superscript"/>
        </w:rPr>
        <w:t>#</w:t>
      </w:r>
      <w:r>
        <w:rPr>
          <w:rStyle w:val="any"/>
          <w:rFonts w:ascii="Arial" w:eastAsia="Arial" w:hAnsi="Arial" w:cs="Arial"/>
          <w:spacing w:val="8"/>
        </w:rPr>
        <w:t>, et al. Effect of C-phycocyanin on HDAC3 and miRNA-335 in Alzheimer</w:t>
      </w:r>
      <w:r>
        <w:rPr>
          <w:rStyle w:val="any"/>
          <w:rFonts w:ascii="Arial" w:eastAsia="Arial" w:hAnsi="Arial" w:cs="Arial"/>
          <w:spacing w:val="8"/>
        </w:rPr>
        <w:t>’</w:t>
      </w:r>
      <w:r>
        <w:rPr>
          <w:rStyle w:val="any"/>
          <w:rFonts w:ascii="Arial" w:eastAsia="Arial" w:hAnsi="Arial" w:cs="Arial"/>
          <w:spacing w:val="8"/>
        </w:rPr>
        <w:t>s disease. Translational Neuroscience, 2020, 11(1): 161-172.</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Yan Chen, et al. The fabrication of self-floating Ti</w:t>
      </w:r>
      <w:r>
        <w:rPr>
          <w:rStyle w:val="any"/>
          <w:rFonts w:ascii="Arial" w:eastAsia="Arial" w:hAnsi="Arial" w:cs="Arial"/>
          <w:spacing w:val="8"/>
          <w:vertAlign w:val="superscript"/>
        </w:rPr>
        <w:t>3+</w:t>
      </w:r>
      <w:r>
        <w:rPr>
          <w:rStyle w:val="any"/>
          <w:rFonts w:ascii="Arial" w:eastAsia="Arial" w:hAnsi="Arial" w:cs="Arial"/>
          <w:spacing w:val="8"/>
        </w:rPr>
        <w:t>/N co-doped TiO</w:t>
      </w:r>
      <w:r>
        <w:rPr>
          <w:rStyle w:val="any"/>
          <w:rFonts w:ascii="Arial" w:eastAsia="Arial" w:hAnsi="Arial" w:cs="Arial"/>
          <w:spacing w:val="8"/>
          <w:vertAlign w:val="subscript"/>
        </w:rPr>
        <w:t>2</w:t>
      </w:r>
      <w:r>
        <w:rPr>
          <w:rStyle w:val="any"/>
          <w:rFonts w:ascii="Arial" w:eastAsia="Arial" w:hAnsi="Arial" w:cs="Arial"/>
          <w:spacing w:val="8"/>
        </w:rPr>
        <w:t>/diatomite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Yan Chen, et al. Self-floating Cu/N co-doped TiO</w:t>
      </w:r>
      <w:r>
        <w:rPr>
          <w:rStyle w:val="any"/>
          <w:rFonts w:ascii="Arial" w:eastAsia="Arial" w:hAnsi="Arial" w:cs="Arial"/>
          <w:spacing w:val="8"/>
          <w:vertAlign w:val="subscript"/>
        </w:rPr>
        <w:t>2</w:t>
      </w:r>
      <w:r>
        <w:rPr>
          <w:rStyle w:val="any"/>
          <w:rFonts w:ascii="Arial" w:eastAsia="Arial" w:hAnsi="Arial" w:cs="Arial"/>
          <w:spacing w:val="8"/>
        </w:rPr>
        <w:t>/diatomite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Yan Chen, et al.Visible-light-driven elimination of oxytetracycline and Escherichia coli using magnetic La-doped TiO</w:t>
      </w:r>
      <w:r>
        <w:rPr>
          <w:rStyle w:val="any"/>
          <w:rFonts w:ascii="Arial" w:eastAsia="Arial" w:hAnsi="Arial" w:cs="Arial"/>
          <w:spacing w:val="8"/>
          <w:vertAlign w:val="subscript"/>
        </w:rPr>
        <w:t>2</w:t>
      </w:r>
      <w:r>
        <w:rPr>
          <w:rStyle w:val="any"/>
          <w:rFonts w:ascii="Arial" w:eastAsia="Arial" w:hAnsi="Arial" w:cs="Arial"/>
          <w:spacing w:val="8"/>
        </w:rPr>
        <w:t>/copper ferrite/diatomite composite. Environmental Science and Pollution Research, 2019, 26, 26593-26604.</w:t>
      </w:r>
      <w:r>
        <w:rPr>
          <w:rStyle w:val="any"/>
          <w:rFonts w:ascii="PMingLiU" w:eastAsia="PMingLiU" w:hAnsi="PMingLiU" w:cs="PMingLiU"/>
          <w:spacing w:val="8"/>
        </w:rPr>
        <w:t>（标注基金号</w:t>
      </w:r>
      <w:r>
        <w:rPr>
          <w:rStyle w:val="any"/>
          <w:rFonts w:ascii="Arial" w:eastAsia="Arial" w:hAnsi="Arial" w:cs="Arial"/>
          <w:spacing w:val="8"/>
        </w:rPr>
        <w:t>31570154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Yan Chen, et al. Visible-light-induced photocatalytic mitigation of ibuprofen using magnetic black TiO</w:t>
      </w:r>
      <w:r>
        <w:rPr>
          <w:rStyle w:val="any"/>
          <w:rFonts w:ascii="Arial" w:eastAsia="Arial" w:hAnsi="Arial" w:cs="Arial"/>
          <w:spacing w:val="8"/>
          <w:vertAlign w:val="subscript"/>
        </w:rPr>
        <w:t>2-x</w:t>
      </w:r>
      <w:r>
        <w:rPr>
          <w:rStyle w:val="any"/>
          <w:rFonts w:ascii="Arial" w:eastAsia="Arial" w:hAnsi="Arial" w:cs="Arial"/>
          <w:spacing w:val="8"/>
        </w:rPr>
        <w:t>/CaFe</w:t>
      </w:r>
      <w:r>
        <w:rPr>
          <w:rStyle w:val="any"/>
          <w:rFonts w:ascii="Arial" w:eastAsia="Arial" w:hAnsi="Arial" w:cs="Arial"/>
          <w:spacing w:val="8"/>
          <w:vertAlign w:val="subscript"/>
        </w:rPr>
        <w:t>2</w:t>
      </w:r>
      <w:r>
        <w:rPr>
          <w:rStyle w:val="any"/>
          <w:rFonts w:ascii="Arial" w:eastAsia="Arial" w:hAnsi="Arial" w:cs="Arial"/>
          <w:spacing w:val="8"/>
        </w:rPr>
        <w:t>O</w:t>
      </w:r>
      <w:r>
        <w:rPr>
          <w:rStyle w:val="any"/>
          <w:rFonts w:ascii="Arial" w:eastAsia="Arial" w:hAnsi="Arial" w:cs="Arial"/>
          <w:spacing w:val="8"/>
          <w:vertAlign w:val="subscript"/>
        </w:rPr>
        <w:t>4</w:t>
      </w:r>
      <w:r>
        <w:rPr>
          <w:rStyle w:val="any"/>
          <w:rFonts w:ascii="Arial" w:eastAsia="Arial" w:hAnsi="Arial" w:cs="Arial"/>
          <w:spacing w:val="8"/>
        </w:rPr>
        <w:t>decorated on diatomaceous earth. Science of the Total Environment, 2021, 777, 147034.</w:t>
      </w:r>
      <w:r>
        <w:rPr>
          <w:rStyle w:val="any"/>
          <w:rFonts w:ascii="PMingLiU" w:eastAsia="PMingLiU" w:hAnsi="PMingLiU" w:cs="PMingLiU"/>
          <w:spacing w:val="8"/>
        </w:rPr>
        <w:t>（标注基金号</w:t>
      </w:r>
      <w:r>
        <w:rPr>
          <w:rStyle w:val="any"/>
          <w:rFonts w:ascii="Arial" w:eastAsia="Arial" w:hAnsi="Arial" w:cs="Arial"/>
          <w:spacing w:val="8"/>
        </w:rPr>
        <w:t>41977205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Arial" w:eastAsia="Arial" w:hAnsi="Arial" w:cs="Arial"/>
          <w:spacing w:val="8"/>
        </w:rPr>
        <w:t>5</w:t>
      </w:r>
      <w:r>
        <w:rPr>
          <w:rStyle w:val="any"/>
          <w:rFonts w:ascii="PMingLiU" w:eastAsia="PMingLiU" w:hAnsi="PMingLiU" w:cs="PMingLiU"/>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陈岩将论文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列入基金项目（申请号</w:t>
      </w:r>
      <w:r>
        <w:rPr>
          <w:rStyle w:val="any"/>
          <w:rFonts w:ascii="Arial" w:eastAsia="Arial" w:hAnsi="Arial" w:cs="Arial"/>
          <w:spacing w:val="8"/>
        </w:rPr>
        <w:t>5197041546</w:t>
      </w:r>
      <w:r>
        <w:rPr>
          <w:rStyle w:val="any"/>
          <w:rFonts w:ascii="PMingLiU" w:eastAsia="PMingLiU" w:hAnsi="PMingLiU" w:cs="PMingLiU"/>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此外，陈岩在</w:t>
      </w:r>
      <w:r>
        <w:rPr>
          <w:rStyle w:val="any"/>
          <w:rFonts w:ascii="Arial" w:eastAsia="Arial" w:hAnsi="Arial" w:cs="Arial"/>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w:t>
      </w:r>
      <w:r>
        <w:rPr>
          <w:rStyle w:val="any"/>
          <w:rFonts w:ascii="PMingLiU" w:eastAsia="PMingLiU" w:hAnsi="PMingLiU" w:cs="PMingLiU"/>
          <w:spacing w:val="8"/>
        </w:rPr>
        <w:t>经查，邓新华在</w:t>
      </w:r>
      <w:r>
        <w:rPr>
          <w:rStyle w:val="any"/>
          <w:rFonts w:ascii="Arial" w:eastAsia="Arial" w:hAnsi="Arial" w:cs="Arial"/>
          <w:spacing w:val="8"/>
        </w:rPr>
        <w:t>2008</w:t>
      </w:r>
      <w:r>
        <w:rPr>
          <w:rStyle w:val="any"/>
          <w:rFonts w:ascii="PMingLiU" w:eastAsia="PMingLiU" w:hAnsi="PMingLiU" w:cs="PMingLiU"/>
          <w:spacing w:val="8"/>
        </w:rPr>
        <w:t>年至</w:t>
      </w:r>
      <w:r>
        <w:rPr>
          <w:rStyle w:val="any"/>
          <w:rFonts w:ascii="Arial" w:eastAsia="Arial" w:hAnsi="Arial" w:cs="Arial"/>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经查，廖润华大量使用自己往年评审的某省自然科学基金项目申请书内容撰写形成国家自然科学基金项目申请书，并安排他人使用上述申请书申请</w:t>
      </w:r>
      <w:r>
        <w:rPr>
          <w:rStyle w:val="any"/>
          <w:rFonts w:ascii="Arial" w:eastAsia="Arial" w:hAnsi="Arial" w:cs="Arial"/>
          <w:spacing w:val="8"/>
        </w:rPr>
        <w:t>2024</w:t>
      </w:r>
      <w:r>
        <w:rPr>
          <w:rStyle w:val="any"/>
          <w:rFonts w:ascii="PMingLiU" w:eastAsia="PMingLiU" w:hAnsi="PMingLiU" w:cs="PMingLiU"/>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日），取消廖润华国家自然科学基金项目申请和参与申请资格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Quanfang Huang*, Jinbin Wei*, et al. Tormentic acid inhibits hepatic stellate cells activation via blocking PI3K/Akt/mTOR and NF-</w:t>
      </w:r>
      <w:r>
        <w:rPr>
          <w:rStyle w:val="any"/>
          <w:rFonts w:ascii="Arial" w:eastAsia="Arial" w:hAnsi="Arial" w:cs="Arial"/>
          <w:spacing w:val="8"/>
        </w:rPr>
        <w:t>κ</w:t>
      </w:r>
      <w:r>
        <w:rPr>
          <w:rStyle w:val="any"/>
          <w:rFonts w:ascii="Arial" w:eastAsia="Arial" w:hAnsi="Arial" w:cs="Arial"/>
          <w:spacing w:val="8"/>
        </w:rPr>
        <w:t>B signalling pathways. Cell Biochemistry and Function, 2021, 39(1): 77-87.</w:t>
      </w:r>
      <w:r>
        <w:rPr>
          <w:rStyle w:val="any"/>
          <w:rFonts w:ascii="PMingLiU" w:eastAsia="PMingLiU" w:hAnsi="PMingLiU" w:cs="PMingLiU"/>
          <w:spacing w:val="8"/>
        </w:rPr>
        <w:t>（标注基金号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Jinbin Wei</w:t>
      </w:r>
      <w:r>
        <w:rPr>
          <w:rStyle w:val="any"/>
          <w:rFonts w:ascii="Arial" w:eastAsia="Arial" w:hAnsi="Arial" w:cs="Arial"/>
          <w:spacing w:val="8"/>
          <w:vertAlign w:val="superscript"/>
        </w:rPr>
        <w:t>#</w:t>
      </w:r>
      <w:r>
        <w:rPr>
          <w:rStyle w:val="any"/>
          <w:rFonts w:ascii="Arial" w:eastAsia="Arial" w:hAnsi="Arial" w:cs="Arial"/>
          <w:spacing w:val="8"/>
        </w:rPr>
        <w:t>, Quanfang Huang</w:t>
      </w:r>
      <w:r>
        <w:rPr>
          <w:rStyle w:val="any"/>
          <w:rFonts w:ascii="Arial" w:eastAsia="Arial" w:hAnsi="Arial" w:cs="Arial"/>
          <w:spacing w:val="8"/>
          <w:vertAlign w:val="superscript"/>
        </w:rPr>
        <w:t>#</w:t>
      </w:r>
      <w:r>
        <w:rPr>
          <w:rStyle w:val="any"/>
          <w:rFonts w:ascii="Arial" w:eastAsia="Arial" w:hAnsi="Arial" w:cs="Arial"/>
          <w:spacing w:val="8"/>
        </w:rPr>
        <w:t>,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Hongliang Zhang</w:t>
      </w:r>
      <w:r>
        <w:rPr>
          <w:rStyle w:val="any"/>
          <w:rFonts w:ascii="Arial" w:eastAsia="Arial" w:hAnsi="Arial" w:cs="Arial"/>
          <w:spacing w:val="8"/>
          <w:vertAlign w:val="superscript"/>
        </w:rPr>
        <w:t>#</w:t>
      </w:r>
      <w:r>
        <w:rPr>
          <w:rStyle w:val="any"/>
          <w:rFonts w:ascii="Arial" w:eastAsia="Arial" w:hAnsi="Arial" w:cs="Arial"/>
          <w:spacing w:val="8"/>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Arial" w:eastAsia="Arial" w:hAnsi="Arial" w:cs="Arial"/>
          <w:spacing w:val="8"/>
        </w:rPr>
        <w:t>81760665</w:t>
      </w:r>
      <w:r>
        <w:rPr>
          <w:rStyle w:val="any"/>
          <w:rFonts w:ascii="PMingLiU" w:eastAsia="PMingLiU" w:hAnsi="PMingLiU" w:cs="PMingLiU"/>
          <w:spacing w:val="8"/>
        </w:rPr>
        <w:t>、</w:t>
      </w:r>
      <w:r>
        <w:rPr>
          <w:rStyle w:val="any"/>
          <w:rFonts w:ascii="Arial" w:eastAsia="Arial" w:hAnsi="Arial" w:cs="Arial"/>
          <w:spacing w:val="8"/>
        </w:rPr>
        <w:t>81460205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Jinbin Wei</w:t>
      </w:r>
      <w:r>
        <w:rPr>
          <w:rStyle w:val="any"/>
          <w:rFonts w:ascii="Arial" w:eastAsia="Arial" w:hAnsi="Arial" w:cs="Arial"/>
          <w:spacing w:val="8"/>
          <w:vertAlign w:val="superscript"/>
        </w:rPr>
        <w:t>#</w:t>
      </w:r>
      <w:r>
        <w:rPr>
          <w:rStyle w:val="any"/>
          <w:rFonts w:ascii="Arial" w:eastAsia="Arial" w:hAnsi="Arial" w:cs="Arial"/>
          <w:spacing w:val="8"/>
        </w:rPr>
        <w:t>,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Xing Lin*, et al. Pratensein ameliorates </w:t>
      </w:r>
      <w:r>
        <w:rPr>
          <w:rStyle w:val="any"/>
          <w:rFonts w:ascii="Arial" w:eastAsia="Arial" w:hAnsi="Arial" w:cs="Arial"/>
          <w:spacing w:val="8"/>
        </w:rPr>
        <w:t>β</w:t>
      </w:r>
      <w:r>
        <w:rPr>
          <w:rStyle w:val="any"/>
          <w:rFonts w:ascii="Arial" w:eastAsia="Arial" w:hAnsi="Arial" w:cs="Arial"/>
          <w:spacing w:val="8"/>
        </w:rPr>
        <w:t>-amyloid-induced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11</w:t>
      </w:r>
      <w:r>
        <w:rPr>
          <w:rStyle w:val="any"/>
          <w:rFonts w:ascii="PMingLiU" w:eastAsia="PMingLiU" w:hAnsi="PMingLiU" w:cs="PMingLiU"/>
          <w:spacing w:val="8"/>
        </w:rPr>
        <w:t>：</w:t>
      </w:r>
      <w:r>
        <w:rPr>
          <w:rStyle w:val="any"/>
          <w:rFonts w:ascii="Arial" w:eastAsia="Arial" w:hAnsi="Arial" w:cs="Arial"/>
          <w:spacing w:val="8"/>
        </w:rPr>
        <w:t>Xing Lin, Quanfang Huang*, et al. Gypsophila elegans isoorientin attenuates CCl4-induced hepatic fibrosis in rats via modulation of NF-</w:t>
      </w:r>
      <w:r>
        <w:rPr>
          <w:rStyle w:val="any"/>
          <w:rFonts w:ascii="Arial" w:eastAsia="Arial" w:hAnsi="Arial" w:cs="Arial"/>
          <w:spacing w:val="8"/>
        </w:rPr>
        <w:t>κ</w:t>
      </w:r>
      <w:r>
        <w:rPr>
          <w:rStyle w:val="any"/>
          <w:rFonts w:ascii="Arial" w:eastAsia="Arial" w:hAnsi="Arial" w:cs="Arial"/>
          <w:spacing w:val="8"/>
        </w:rPr>
        <w:t>B and TGF-</w:t>
      </w:r>
      <w:r>
        <w:rPr>
          <w:rStyle w:val="any"/>
          <w:rFonts w:ascii="Arial" w:eastAsia="Arial" w:hAnsi="Arial" w:cs="Arial"/>
          <w:spacing w:val="8"/>
        </w:rPr>
        <w:t>β</w:t>
      </w:r>
      <w:r>
        <w:rPr>
          <w:rStyle w:val="any"/>
          <w:rFonts w:ascii="Arial" w:eastAsia="Arial" w:hAnsi="Arial" w:cs="Arial"/>
          <w:spacing w:val="8"/>
        </w:rPr>
        <w:t>1/Smad signaling pathways. International Immunopharmacology, 2015, 28, 305-312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12</w:t>
      </w:r>
      <w:r>
        <w:rPr>
          <w:rStyle w:val="any"/>
          <w:rFonts w:ascii="PMingLiU" w:eastAsia="PMingLiU" w:hAnsi="PMingLiU" w:cs="PMingLiU"/>
          <w:spacing w:val="8"/>
        </w:rPr>
        <w:t>：</w:t>
      </w:r>
      <w:r>
        <w:rPr>
          <w:rStyle w:val="any"/>
          <w:rFonts w:ascii="Arial" w:eastAsia="Arial" w:hAnsi="Arial" w:cs="Arial"/>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13</w:t>
      </w:r>
      <w:r>
        <w:rPr>
          <w:rStyle w:val="any"/>
          <w:rFonts w:ascii="PMingLiU" w:eastAsia="PMingLiU" w:hAnsi="PMingLiU" w:cs="PMingLiU"/>
          <w:spacing w:val="8"/>
        </w:rPr>
        <w:t>：</w:t>
      </w:r>
      <w:r>
        <w:rPr>
          <w:rStyle w:val="any"/>
          <w:rFonts w:ascii="Arial" w:eastAsia="Arial" w:hAnsi="Arial" w:cs="Arial"/>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14</w:t>
      </w:r>
      <w:r>
        <w:rPr>
          <w:rStyle w:val="any"/>
          <w:rFonts w:ascii="PMingLiU" w:eastAsia="PMingLiU" w:hAnsi="PMingLiU" w:cs="PMingLiU"/>
          <w:spacing w:val="8"/>
        </w:rPr>
        <w:t>：</w:t>
      </w:r>
      <w:r>
        <w:rPr>
          <w:rStyle w:val="any"/>
          <w:rFonts w:ascii="Arial" w:eastAsia="Arial" w:hAnsi="Arial" w:cs="Arial"/>
          <w:spacing w:val="8"/>
        </w:rPr>
        <w:t>Quanfang Huang, Xing Lin*, et al. Didymin ameliorates hepatic injury through inhibition of MAPK and NF-</w:t>
      </w:r>
      <w:r>
        <w:rPr>
          <w:rStyle w:val="any"/>
          <w:rFonts w:ascii="Arial" w:eastAsia="Arial" w:hAnsi="Arial" w:cs="Arial"/>
          <w:spacing w:val="8"/>
        </w:rPr>
        <w:t>κ</w:t>
      </w:r>
      <w:r>
        <w:rPr>
          <w:rStyle w:val="any"/>
          <w:rFonts w:ascii="Arial" w:eastAsia="Arial" w:hAnsi="Arial" w:cs="Arial"/>
          <w:spacing w:val="8"/>
        </w:rPr>
        <w:t>B pathways by up-regulating RKIP expression. International Immunopharmacology, 2017, 42, 130-138</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15</w:t>
      </w:r>
      <w:r>
        <w:rPr>
          <w:rStyle w:val="any"/>
          <w:rFonts w:ascii="PMingLiU" w:eastAsia="PMingLiU" w:hAnsi="PMingLiU" w:cs="PMingLiU"/>
          <w:spacing w:val="8"/>
        </w:rPr>
        <w:t>：</w:t>
      </w:r>
      <w:r>
        <w:rPr>
          <w:rStyle w:val="any"/>
          <w:rFonts w:ascii="Arial" w:eastAsia="Arial" w:hAnsi="Arial" w:cs="Arial"/>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16</w:t>
      </w:r>
      <w:r>
        <w:rPr>
          <w:rStyle w:val="any"/>
          <w:rFonts w:ascii="PMingLiU" w:eastAsia="PMingLiU" w:hAnsi="PMingLiU" w:cs="PMingLiU"/>
          <w:spacing w:val="8"/>
        </w:rPr>
        <w:t>：</w:t>
      </w:r>
      <w:r>
        <w:rPr>
          <w:rStyle w:val="any"/>
          <w:rFonts w:ascii="Arial" w:eastAsia="Arial" w:hAnsi="Arial" w:cs="Arial"/>
          <w:spacing w:val="8"/>
        </w:rPr>
        <w:t>Xing Lin*, et al. Helenalin from Centipeda minima ameliorates acute hepatic injury by protecting mitochondria function, activating Nrf2 pathway and inhibiting NF-</w:t>
      </w:r>
      <w:r>
        <w:rPr>
          <w:rStyle w:val="any"/>
          <w:rFonts w:ascii="Arial" w:eastAsia="Arial" w:hAnsi="Arial" w:cs="Arial"/>
          <w:spacing w:val="8"/>
        </w:rPr>
        <w:t>κ</w:t>
      </w:r>
      <w:r>
        <w:rPr>
          <w:rStyle w:val="any"/>
          <w:rFonts w:ascii="Arial" w:eastAsia="Arial" w:hAnsi="Arial" w:cs="Arial"/>
          <w:spacing w:val="8"/>
        </w:rPr>
        <w:t>B activation. Biomedicine &amp; Pharmacotherapy, 2019, 119, 109435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多幅图片存在使用混乱、不当操作问题，具有伪造篡改的客观结果。论文</w:t>
      </w:r>
      <w:r>
        <w:rPr>
          <w:rStyle w:val="any"/>
          <w:rFonts w:ascii="Arial" w:eastAsia="Arial" w:hAnsi="Arial" w:cs="Arial"/>
          <w:spacing w:val="8"/>
        </w:rPr>
        <w:t>2</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存在擅自标注他人科学基金项目问题，论文</w:t>
      </w:r>
      <w:r>
        <w:rPr>
          <w:rStyle w:val="any"/>
          <w:rFonts w:ascii="Arial" w:eastAsia="Arial" w:hAnsi="Arial" w:cs="Arial"/>
          <w:spacing w:val="8"/>
        </w:rPr>
        <w:t>1</w:t>
      </w:r>
      <w:r>
        <w:rPr>
          <w:rStyle w:val="any"/>
          <w:rFonts w:ascii="PMingLiU" w:eastAsia="PMingLiU" w:hAnsi="PMingLiU" w:cs="PMingLiU"/>
          <w:spacing w:val="8"/>
        </w:rPr>
        <w:t>通讯作者、论文</w:t>
      </w:r>
      <w:r>
        <w:rPr>
          <w:rStyle w:val="any"/>
          <w:rFonts w:ascii="Arial" w:eastAsia="Arial" w:hAnsi="Arial" w:cs="Arial"/>
          <w:spacing w:val="8"/>
        </w:rPr>
        <w:t>5</w:t>
      </w:r>
      <w:r>
        <w:rPr>
          <w:rStyle w:val="any"/>
          <w:rFonts w:ascii="PMingLiU" w:eastAsia="PMingLiU" w:hAnsi="PMingLiU" w:cs="PMingLiU"/>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此外，林兴将论文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、论文</w:t>
      </w:r>
      <w:r>
        <w:rPr>
          <w:rStyle w:val="any"/>
          <w:rFonts w:ascii="Arial" w:eastAsia="Arial" w:hAnsi="Arial" w:cs="Arial"/>
          <w:spacing w:val="8"/>
        </w:rPr>
        <w:t>13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分别列入相关基金项目（批准号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）申请书或结题报告；黄权芳将论文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81260674</w:t>
      </w:r>
      <w:r>
        <w:rPr>
          <w:rStyle w:val="any"/>
          <w:rFonts w:ascii="PMingLiU" w:eastAsia="PMingLiU" w:hAnsi="PMingLiU" w:cs="PMingLiU"/>
          <w:spacing w:val="8"/>
        </w:rPr>
        <w:t>）结题报告；韦锦斌将论文</w:t>
      </w:r>
      <w:r>
        <w:rPr>
          <w:rStyle w:val="any"/>
          <w:rFonts w:ascii="Arial" w:eastAsia="Arial" w:hAnsi="Arial" w:cs="Arial"/>
          <w:spacing w:val="8"/>
        </w:rPr>
        <w:t>3</w:t>
      </w:r>
      <w:r>
        <w:rPr>
          <w:rStyle w:val="any"/>
          <w:rFonts w:ascii="PMingLiU" w:eastAsia="PMingLiU" w:hAnsi="PMingLiU" w:cs="PMingLiU"/>
          <w:spacing w:val="8"/>
        </w:rPr>
        <w:t>列入基金项目（批准号</w:t>
      </w:r>
      <w:r>
        <w:rPr>
          <w:rStyle w:val="any"/>
          <w:rFonts w:ascii="Arial" w:eastAsia="Arial" w:hAnsi="Arial" w:cs="Arial"/>
          <w:spacing w:val="8"/>
        </w:rPr>
        <w:t>81660706</w:t>
      </w:r>
      <w:r>
        <w:rPr>
          <w:rStyle w:val="any"/>
          <w:rFonts w:ascii="PMingLiU" w:eastAsia="PMingLiU" w:hAnsi="PMingLiU" w:cs="PMingLiU"/>
          <w:spacing w:val="8"/>
        </w:rPr>
        <w:t>、</w:t>
      </w:r>
      <w:r>
        <w:rPr>
          <w:rStyle w:val="any"/>
          <w:rFonts w:ascii="Arial" w:eastAsia="Arial" w:hAnsi="Arial" w:cs="Arial"/>
          <w:spacing w:val="8"/>
        </w:rPr>
        <w:t>81960767</w:t>
      </w:r>
      <w:r>
        <w:rPr>
          <w:rStyle w:val="any"/>
          <w:rFonts w:ascii="PMingLiU" w:eastAsia="PMingLiU" w:hAnsi="PMingLiU" w:cs="PMingLiU"/>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依据《国家自然科学基金项目科研不端行为调查处理办法》第四十七条、第四十条、第四十三条第一项、第四十三条第六项、第四十六条，撤销林兴国家自然科学基金项目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TGF-</w:t>
      </w:r>
      <w:r>
        <w:rPr>
          <w:rStyle w:val="any"/>
          <w:rFonts w:ascii="Arial" w:eastAsia="Arial" w:hAnsi="Arial" w:cs="Arial"/>
          <w:spacing w:val="8"/>
        </w:rPr>
        <w:t>β</w:t>
      </w:r>
      <w:r>
        <w:rPr>
          <w:rStyle w:val="any"/>
          <w:rFonts w:ascii="Arial" w:eastAsia="Arial" w:hAnsi="Arial" w:cs="Arial"/>
          <w:spacing w:val="8"/>
        </w:rPr>
        <w:t>1/Smads</w:t>
      </w:r>
      <w:r>
        <w:rPr>
          <w:rStyle w:val="any"/>
          <w:rFonts w:ascii="PMingLiU" w:eastAsia="PMingLiU" w:hAnsi="PMingLiU" w:cs="PMingLiU"/>
          <w:spacing w:val="8"/>
        </w:rPr>
        <w:t>、</w:t>
      </w:r>
      <w:r>
        <w:rPr>
          <w:rStyle w:val="any"/>
          <w:rFonts w:ascii="Arial" w:eastAsia="Arial" w:hAnsi="Arial" w:cs="Arial"/>
          <w:spacing w:val="8"/>
        </w:rPr>
        <w:t>ERK</w:t>
      </w:r>
      <w:r>
        <w:rPr>
          <w:rStyle w:val="any"/>
          <w:rFonts w:ascii="PMingLiU" w:eastAsia="PMingLiU" w:hAnsi="PMingLiU" w:cs="PMingLiU"/>
          <w:spacing w:val="8"/>
        </w:rPr>
        <w:t>信号</w:t>
      </w:r>
      <w:r>
        <w:rPr>
          <w:rStyle w:val="any"/>
          <w:rFonts w:ascii="PMingLiU" w:eastAsia="PMingLiU" w:hAnsi="PMingLiU" w:cs="PMingLiU"/>
          <w:spacing w:val="8"/>
        </w:rPr>
        <w:t>途径探讨山芝麻酸甲酯抗肝纤维化的作用机制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PI3K/Akt</w:t>
      </w:r>
      <w:r>
        <w:rPr>
          <w:rStyle w:val="any"/>
          <w:rFonts w:ascii="PMingLiU" w:eastAsia="PMingLiU" w:hAnsi="PMingLiU" w:cs="PMingLiU"/>
          <w:spacing w:val="8"/>
        </w:rPr>
        <w:t>信号通路探讨鹅不食草心菊内酯抑制肝纤维化的作用机制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留兰香香蜂草苷对肝纤维化内质网应激</w:t>
      </w:r>
      <w:r>
        <w:rPr>
          <w:rStyle w:val="any"/>
          <w:rFonts w:ascii="Arial" w:eastAsia="Arial" w:hAnsi="Arial" w:cs="Arial"/>
          <w:spacing w:val="8"/>
        </w:rPr>
        <w:t>--</w:t>
      </w:r>
      <w:r>
        <w:rPr>
          <w:rStyle w:val="any"/>
          <w:rFonts w:ascii="PMingLiU" w:eastAsia="PMingLiU" w:hAnsi="PMingLiU" w:cs="PMingLiU"/>
          <w:spacing w:val="8"/>
        </w:rPr>
        <w:t>自噬通路的调控作用机制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81873087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Raf</w:t>
      </w:r>
      <w:r>
        <w:rPr>
          <w:rStyle w:val="any"/>
          <w:rFonts w:ascii="PMingLiU" w:eastAsia="PMingLiU" w:hAnsi="PMingLiU" w:cs="PMingLiU"/>
          <w:spacing w:val="8"/>
        </w:rPr>
        <w:t>激酶抑制蛋白在肝纤维化发生机制中的调控作用</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81260505</w:t>
      </w:r>
      <w:r>
        <w:rPr>
          <w:rStyle w:val="any"/>
          <w:rFonts w:ascii="PMingLiU" w:eastAsia="PMingLiU" w:hAnsi="PMingLiU" w:cs="PMingLiU"/>
          <w:spacing w:val="8"/>
        </w:rPr>
        <w:t>），追回上述</w:t>
      </w:r>
      <w:r>
        <w:rPr>
          <w:rStyle w:val="any"/>
          <w:rFonts w:ascii="Arial" w:eastAsia="Arial" w:hAnsi="Arial" w:cs="Arial"/>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依据《国家自然科学基金项目科研不端行为调查处理办法》第四十七条、第四十条、第四十六条，撤销黄权芳国家自然科学基金项目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PI3K/Akt</w:t>
      </w:r>
      <w:r>
        <w:rPr>
          <w:rStyle w:val="any"/>
          <w:rFonts w:ascii="PMingLiU" w:eastAsia="PMingLiU" w:hAnsi="PMingLiU" w:cs="PMingLiU"/>
          <w:spacing w:val="8"/>
        </w:rPr>
        <w:t>、</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信号通路探讨委陵菜酸对肝纤维化的抑制作用机制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81660686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满天星异荭草苷对肝纤维化</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信号通路的干预作用及其机制研究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81260674</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依据《国家自然科学基金项目科研不端行为调查处理办法》第四十七条、第四十条，撤销韦锦斌国家自然科学基金项目</w:t>
      </w:r>
      <w:r>
        <w:rPr>
          <w:rStyle w:val="any"/>
          <w:rFonts w:ascii="Arial" w:eastAsia="Arial" w:hAnsi="Arial" w:cs="Arial"/>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81660706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miR-21</w:t>
      </w:r>
      <w:r>
        <w:rPr>
          <w:rStyle w:val="any"/>
          <w:rFonts w:ascii="PMingLiU" w:eastAsia="PMingLiU" w:hAnsi="PMingLiU" w:cs="PMingLiU"/>
          <w:spacing w:val="8"/>
        </w:rPr>
        <w:t>介导的</w:t>
      </w:r>
      <w:r>
        <w:rPr>
          <w:rStyle w:val="any"/>
          <w:rFonts w:ascii="Arial" w:eastAsia="Arial" w:hAnsi="Arial" w:cs="Arial"/>
          <w:spacing w:val="8"/>
        </w:rPr>
        <w:t>PTEN/Akt</w:t>
      </w:r>
      <w:r>
        <w:rPr>
          <w:rStyle w:val="any"/>
          <w:rFonts w:ascii="PMingLiU" w:eastAsia="PMingLiU" w:hAnsi="PMingLiU" w:cs="PMingLiU"/>
          <w:spacing w:val="8"/>
        </w:rPr>
        <w:t>通路和细胞自噬研究天胡荽异牡荆素抗肝纤维化的作用机制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81960767</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依据《国家自然科学基金项目科研不端行为调查处理办法》第四十七条、第四十条，取消张宏亮国家自然科学基金项目申请和参与申请资格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Bo Tang, Liming Wang*, et al. Activation of the </w:t>
      </w:r>
      <w:r>
        <w:rPr>
          <w:rStyle w:val="any"/>
          <w:rFonts w:ascii="Arial" w:eastAsia="Arial" w:hAnsi="Arial" w:cs="Arial"/>
          <w:spacing w:val="8"/>
        </w:rPr>
        <w:t>δ</w:t>
      </w:r>
      <w:r>
        <w:rPr>
          <w:rStyle w:val="any"/>
          <w:rFonts w:ascii="Arial" w:eastAsia="Arial" w:hAnsi="Arial" w:cs="Arial"/>
          <w:spacing w:val="8"/>
        </w:rPr>
        <w:t>-opioid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Bo Tang, et al. Upregulation of the </w:t>
      </w:r>
      <w:r>
        <w:rPr>
          <w:rStyle w:val="any"/>
          <w:rFonts w:ascii="Arial" w:eastAsia="Arial" w:hAnsi="Arial" w:cs="Arial"/>
          <w:spacing w:val="8"/>
        </w:rPr>
        <w:t>δ</w:t>
      </w:r>
      <w:r>
        <w:rPr>
          <w:rStyle w:val="any"/>
          <w:rFonts w:ascii="Arial" w:eastAsia="Arial" w:hAnsi="Arial" w:cs="Arial"/>
          <w:spacing w:val="8"/>
        </w:rPr>
        <w:t>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Arial" w:eastAsia="Arial" w:hAnsi="Arial" w:cs="Arial"/>
          <w:spacing w:val="8"/>
        </w:rPr>
        <w:t>81160066</w:t>
      </w:r>
      <w:r>
        <w:rPr>
          <w:rStyle w:val="any"/>
          <w:rFonts w:ascii="PMingLiU" w:eastAsia="PMingLiU" w:hAnsi="PMingLiU" w:cs="PMingLiU"/>
          <w:spacing w:val="8"/>
        </w:rPr>
        <w:t>、</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Poly(</w:t>
      </w:r>
      <w:r>
        <w:rPr>
          <w:rStyle w:val="any"/>
          <w:rFonts w:ascii="Arial" w:eastAsia="Arial" w:hAnsi="Arial" w:cs="Arial"/>
          <w:spacing w:val="8"/>
        </w:rPr>
        <w:t>γ</w:t>
      </w:r>
      <w:r>
        <w:rPr>
          <w:rStyle w:val="any"/>
          <w:rFonts w:ascii="Arial" w:eastAsia="Arial" w:hAnsi="Arial" w:cs="Arial"/>
          <w:spacing w:val="8"/>
        </w:rPr>
        <w:t>-glutamic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Arial" w:eastAsia="Arial" w:hAnsi="Arial" w:cs="Arial"/>
          <w:spacing w:val="8"/>
        </w:rPr>
        <w:t>81702435</w:t>
      </w:r>
      <w:r>
        <w:rPr>
          <w:rStyle w:val="any"/>
          <w:rFonts w:ascii="PMingLiU" w:eastAsia="PMingLiU" w:hAnsi="PMingLiU" w:cs="PMingLiU"/>
          <w:spacing w:val="8"/>
        </w:rPr>
        <w:t>、</w:t>
      </w:r>
      <w:r>
        <w:rPr>
          <w:rStyle w:val="any"/>
          <w:rFonts w:ascii="Arial" w:eastAsia="Arial" w:hAnsi="Arial" w:cs="Arial"/>
          <w:spacing w:val="8"/>
        </w:rPr>
        <w:t>81430014</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至论文</w:t>
      </w:r>
      <w:r>
        <w:rPr>
          <w:rStyle w:val="any"/>
          <w:rFonts w:ascii="Arial" w:eastAsia="Arial" w:hAnsi="Arial" w:cs="Arial"/>
          <w:spacing w:val="8"/>
        </w:rPr>
        <w:t>7</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部分图片存在使用混乱、不当操作问题，具有伪造篡改的客观结果。</w:t>
      </w:r>
      <w:r>
        <w:rPr>
          <w:rStyle w:val="any"/>
          <w:rFonts w:ascii="Arial" w:eastAsia="Arial" w:hAnsi="Arial" w:cs="Arial"/>
          <w:spacing w:val="8"/>
        </w:rPr>
        <w:t>7</w:t>
      </w:r>
      <w:r>
        <w:rPr>
          <w:rStyle w:val="any"/>
          <w:rFonts w:ascii="PMingLiU" w:eastAsia="PMingLiU" w:hAnsi="PMingLiU" w:cs="PMingLiU"/>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此外，王立明将论文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分别列入相关基金项目（批准号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81972749</w:t>
      </w:r>
      <w:r>
        <w:rPr>
          <w:rStyle w:val="any"/>
          <w:rFonts w:ascii="PMingLiU" w:eastAsia="PMingLiU" w:hAnsi="PMingLiU" w:cs="PMingLiU"/>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依据《国家自然科学基金项目科研不端行为调查处理办法》第四十七条、第四十条，撤销唐博国家自然科学基金项目</w:t>
      </w:r>
      <w:r>
        <w:rPr>
          <w:rStyle w:val="any"/>
          <w:rFonts w:ascii="Arial" w:eastAsia="Arial" w:hAnsi="Arial" w:cs="Arial"/>
          <w:spacing w:val="8"/>
        </w:rPr>
        <w:t>“</w:t>
      </w:r>
      <w:r>
        <w:rPr>
          <w:rStyle w:val="any"/>
          <w:rFonts w:ascii="Arial" w:eastAsia="Arial" w:hAnsi="Arial" w:cs="Arial"/>
          <w:spacing w:val="8"/>
        </w:rPr>
        <w:t>microRNA-101</w:t>
      </w:r>
      <w:r>
        <w:rPr>
          <w:rStyle w:val="any"/>
          <w:rFonts w:ascii="PMingLiU" w:eastAsia="PMingLiU" w:hAnsi="PMingLiU" w:cs="PMingLiU"/>
          <w:spacing w:val="8"/>
        </w:rPr>
        <w:t>靶向调控</w:t>
      </w:r>
      <w:r>
        <w:rPr>
          <w:rStyle w:val="any"/>
          <w:rFonts w:ascii="Arial" w:eastAsia="Arial" w:hAnsi="Arial" w:cs="Arial"/>
          <w:spacing w:val="8"/>
        </w:rPr>
        <w:t>EZH2</w:t>
      </w:r>
      <w:r>
        <w:rPr>
          <w:rStyle w:val="any"/>
          <w:rFonts w:ascii="PMingLiU" w:eastAsia="PMingLiU" w:hAnsi="PMingLiU" w:cs="PMingLiU"/>
          <w:spacing w:val="8"/>
        </w:rPr>
        <w:t>在肝癌化疗耐药中的作用及机制研究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81360367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microRNA-329</w:t>
      </w:r>
      <w:r>
        <w:rPr>
          <w:rStyle w:val="any"/>
          <w:rFonts w:ascii="PMingLiU" w:eastAsia="PMingLiU" w:hAnsi="PMingLiU" w:cs="PMingLiU"/>
          <w:spacing w:val="8"/>
        </w:rPr>
        <w:t>调控泛素特异性蛋白酶</w:t>
      </w:r>
      <w:r>
        <w:rPr>
          <w:rStyle w:val="any"/>
          <w:rFonts w:ascii="Arial" w:eastAsia="Arial" w:hAnsi="Arial" w:cs="Arial"/>
          <w:spacing w:val="8"/>
        </w:rPr>
        <w:t>22</w:t>
      </w:r>
      <w:r>
        <w:rPr>
          <w:rStyle w:val="any"/>
          <w:rFonts w:ascii="PMingLiU" w:eastAsia="PMingLiU" w:hAnsi="PMingLiU" w:cs="PMingLiU"/>
          <w:spacing w:val="8"/>
        </w:rPr>
        <w:t>在肝细胞癌侵袭和转移中的作用及机制研究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81560393</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依据《国家自然科学基金项目科研不端行为调查处理办法》第四十七条、第四十条、第四十六条，撤销王立明国家自然科学基金项目</w:t>
      </w:r>
      <w:r>
        <w:rPr>
          <w:rStyle w:val="any"/>
          <w:rFonts w:ascii="Arial" w:eastAsia="Arial" w:hAnsi="Arial" w:cs="Arial"/>
          <w:spacing w:val="8"/>
        </w:rPr>
        <w:t>“</w:t>
      </w:r>
      <w:r>
        <w:rPr>
          <w:rStyle w:val="any"/>
          <w:rFonts w:ascii="PMingLiU" w:eastAsia="PMingLiU" w:hAnsi="PMingLiU" w:cs="PMingLiU"/>
          <w:spacing w:val="8"/>
        </w:rPr>
        <w:t>肝细胞癌转移相关磷酸化蛋白质的鉴定、调控及其作用机制的研究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81471755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肝癌外泌体</w:t>
      </w:r>
      <w:r>
        <w:rPr>
          <w:rStyle w:val="any"/>
          <w:rFonts w:ascii="Arial" w:eastAsia="Arial" w:hAnsi="Arial" w:cs="Arial"/>
          <w:spacing w:val="8"/>
        </w:rPr>
        <w:t>LOXL2</w:t>
      </w:r>
      <w:r>
        <w:rPr>
          <w:rStyle w:val="any"/>
          <w:rFonts w:ascii="PMingLiU" w:eastAsia="PMingLiU" w:hAnsi="PMingLiU" w:cs="PMingLiU"/>
          <w:spacing w:val="8"/>
        </w:rPr>
        <w:t>调控</w:t>
      </w:r>
      <w:r>
        <w:rPr>
          <w:rStyle w:val="any"/>
          <w:rFonts w:ascii="Arial" w:eastAsia="Arial" w:hAnsi="Arial" w:cs="Arial"/>
          <w:spacing w:val="8"/>
        </w:rPr>
        <w:t>FAK/Src</w:t>
      </w:r>
      <w:r>
        <w:rPr>
          <w:rStyle w:val="any"/>
          <w:rFonts w:ascii="PMingLiU" w:eastAsia="PMingLiU" w:hAnsi="PMingLiU" w:cs="PMingLiU"/>
          <w:spacing w:val="8"/>
        </w:rPr>
        <w:t>通路诱导</w:t>
      </w:r>
      <w:r>
        <w:rPr>
          <w:rStyle w:val="any"/>
          <w:rFonts w:ascii="Arial" w:eastAsia="Arial" w:hAnsi="Arial" w:cs="Arial"/>
          <w:spacing w:val="8"/>
        </w:rPr>
        <w:t>BMSCs</w:t>
      </w:r>
      <w:r>
        <w:rPr>
          <w:rStyle w:val="any"/>
          <w:rFonts w:ascii="PMingLiU" w:eastAsia="PMingLiU" w:hAnsi="PMingLiU" w:cs="PMingLiU"/>
          <w:spacing w:val="8"/>
        </w:rPr>
        <w:t>募集分化促进肝癌转移的机制研究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81972749</w:t>
      </w:r>
      <w:r>
        <w:rPr>
          <w:rStyle w:val="any"/>
          <w:rFonts w:ascii="PMingLiU" w:eastAsia="PMingLiU" w:hAnsi="PMingLiU" w:cs="PMingLiU"/>
          <w:spacing w:val="8"/>
        </w:rPr>
        <w:t>），追回上述</w:t>
      </w:r>
      <w:r>
        <w:rPr>
          <w:rStyle w:val="any"/>
          <w:rFonts w:ascii="Arial" w:eastAsia="Arial" w:hAnsi="Arial" w:cs="Arial"/>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国家自然科学基金委员会监督委员会对湖北某高校周伟、刘涛与李永峰等发表的论文</w:t>
      </w:r>
      <w:r>
        <w:rPr>
          <w:rStyle w:val="any"/>
          <w:rFonts w:ascii="Arial" w:eastAsia="Arial" w:hAnsi="Arial" w:cs="Arial"/>
          <w:spacing w:val="8"/>
        </w:rPr>
        <w:t>“</w:t>
      </w:r>
      <w:r>
        <w:rPr>
          <w:rStyle w:val="any"/>
          <w:rFonts w:ascii="Arial" w:eastAsia="Arial" w:hAnsi="Arial" w:cs="Arial"/>
          <w:spacing w:val="8"/>
        </w:rPr>
        <w:t>Wei Zhou, Yongfeng Li, Tao Liu*, et al. MiR-744 increases tumorigenicity of pancreatic cancer by activating Wnt/</w:t>
      </w:r>
      <w:r>
        <w:rPr>
          <w:rStyle w:val="any"/>
          <w:rFonts w:ascii="Arial" w:eastAsia="Arial" w:hAnsi="Arial" w:cs="Arial"/>
          <w:spacing w:val="8"/>
        </w:rPr>
        <w:t>β</w:t>
      </w:r>
      <w:r>
        <w:rPr>
          <w:rStyle w:val="any"/>
          <w:rFonts w:ascii="Arial" w:eastAsia="Arial" w:hAnsi="Arial" w:cs="Arial"/>
          <w:spacing w:val="8"/>
        </w:rPr>
        <w:t>-catenin pathway. Oncotarget. 2015, 6(35): 37557-37569.</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81302115</w:t>
      </w:r>
      <w:r>
        <w:rPr>
          <w:rStyle w:val="any"/>
          <w:rFonts w:ascii="PMingLiU" w:eastAsia="PMingLiU" w:hAnsi="PMingLiU" w:cs="PMingLiU"/>
          <w:spacing w:val="8"/>
        </w:rPr>
        <w:t>、</w:t>
      </w:r>
      <w:r>
        <w:rPr>
          <w:rStyle w:val="any"/>
          <w:rFonts w:ascii="Arial" w:eastAsia="Arial" w:hAnsi="Arial" w:cs="Arial"/>
          <w:spacing w:val="8"/>
        </w:rPr>
        <w:t>81272658</w:t>
      </w:r>
      <w:r>
        <w:rPr>
          <w:rStyle w:val="any"/>
          <w:rFonts w:ascii="PMingLiU" w:eastAsia="PMingLiU" w:hAnsi="PMingLiU" w:cs="PMingLiU"/>
          <w:spacing w:val="8"/>
        </w:rPr>
        <w:t>、</w:t>
      </w:r>
      <w:r>
        <w:rPr>
          <w:rStyle w:val="any"/>
          <w:rFonts w:ascii="Arial" w:eastAsia="Arial" w:hAnsi="Arial" w:cs="Arial"/>
          <w:spacing w:val="8"/>
        </w:rPr>
        <w:t>81201676</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此外，周伟将论文列入基金项目（批准号</w:t>
      </w:r>
      <w:r>
        <w:rPr>
          <w:rStyle w:val="any"/>
          <w:rFonts w:ascii="Arial" w:eastAsia="Arial" w:hAnsi="Arial" w:cs="Arial"/>
          <w:spacing w:val="8"/>
        </w:rPr>
        <w:t>81302115</w:t>
      </w:r>
      <w:r>
        <w:rPr>
          <w:rStyle w:val="any"/>
          <w:rFonts w:ascii="PMingLiU" w:eastAsia="PMingLiU" w:hAnsi="PMingLiU" w:cs="PMingLiU"/>
          <w:spacing w:val="8"/>
        </w:rPr>
        <w:t>）进展报告与结题报告，刘涛将论文列入基金项目（批准号</w:t>
      </w:r>
      <w:r>
        <w:rPr>
          <w:rStyle w:val="any"/>
          <w:rFonts w:ascii="Arial" w:eastAsia="Arial" w:hAnsi="Arial" w:cs="Arial"/>
          <w:spacing w:val="8"/>
        </w:rPr>
        <w:t>81272658</w:t>
      </w:r>
      <w:r>
        <w:rPr>
          <w:rStyle w:val="any"/>
          <w:rFonts w:ascii="PMingLiU" w:eastAsia="PMingLiU" w:hAnsi="PMingLiU" w:cs="PMingLiU"/>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依据《国家自然科学基金项目科研不端行为调查处理办法》第四十七条、第四十条、第四十六条，撤销周伟国家自然科学基金项目</w:t>
      </w:r>
      <w:r>
        <w:rPr>
          <w:rStyle w:val="any"/>
          <w:rFonts w:ascii="Arial" w:eastAsia="Arial" w:hAnsi="Arial" w:cs="Arial"/>
          <w:spacing w:val="8"/>
        </w:rPr>
        <w:t>“</w:t>
      </w:r>
      <w:r>
        <w:rPr>
          <w:rStyle w:val="any"/>
          <w:rFonts w:ascii="PMingLiU" w:eastAsia="PMingLiU" w:hAnsi="PMingLiU" w:cs="PMingLiU"/>
          <w:spacing w:val="8"/>
        </w:rPr>
        <w:t>高胰岛素微环境调控胰腺癌糖酵解及恶性生物学行为的分子机制研究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依据《国家自然科学基金项目科研不端行为调查处理办法》第四十七条、第四十条、第四十六条，撤销刘涛国家自然科学基金项目</w:t>
      </w:r>
      <w:r>
        <w:rPr>
          <w:rStyle w:val="any"/>
          <w:rFonts w:ascii="Arial" w:eastAsia="Arial" w:hAnsi="Arial" w:cs="Arial"/>
          <w:spacing w:val="8"/>
        </w:rPr>
        <w:t>“</w:t>
      </w:r>
      <w:r>
        <w:rPr>
          <w:rStyle w:val="any"/>
          <w:rFonts w:ascii="PMingLiU" w:eastAsia="PMingLiU" w:hAnsi="PMingLiU" w:cs="PMingLiU"/>
          <w:spacing w:val="8"/>
        </w:rPr>
        <w:t>靶向干预糖原合成酶激酶</w:t>
      </w:r>
      <w:r>
        <w:rPr>
          <w:rStyle w:val="any"/>
          <w:rFonts w:ascii="Arial" w:eastAsia="Arial" w:hAnsi="Arial" w:cs="Arial"/>
          <w:spacing w:val="8"/>
        </w:rPr>
        <w:t>-3</w:t>
      </w:r>
      <w:r>
        <w:rPr>
          <w:rStyle w:val="any"/>
          <w:rFonts w:ascii="Arial" w:eastAsia="Arial" w:hAnsi="Arial" w:cs="Arial"/>
          <w:spacing w:val="8"/>
        </w:rPr>
        <w:t>β</w:t>
      </w:r>
      <w:r>
        <w:rPr>
          <w:rStyle w:val="any"/>
          <w:rFonts w:ascii="PMingLiU" w:eastAsia="PMingLiU" w:hAnsi="PMingLiU" w:cs="PMingLiU"/>
          <w:spacing w:val="8"/>
        </w:rPr>
        <w:t>抑制胰腺癌血管生成、侵袭及转移的分子机制研究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依据《国家自然科学基金项目科研不端行为调查处理办法》第四十七条、第四十条，取消李永峰国家自然科学基金项目申请和参与申请资格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Zekuan Xu*, et al. miR</w:t>
      </w:r>
      <w:r>
        <w:rPr>
          <w:rStyle w:val="any"/>
          <w:rFonts w:ascii="Cambria Math" w:eastAsia="Cambria Math" w:hAnsi="Cambria Math" w:cs="Cambria Math"/>
          <w:spacing w:val="8"/>
        </w:rPr>
        <w:t>‐</w:t>
      </w:r>
      <w:r>
        <w:rPr>
          <w:rStyle w:val="any"/>
          <w:rFonts w:ascii="Arial" w:eastAsia="Arial" w:hAnsi="Arial" w:cs="Arial"/>
          <w:spacing w:val="8"/>
        </w:rPr>
        <w:t>664a</w:t>
      </w:r>
      <w:r>
        <w:rPr>
          <w:rStyle w:val="any"/>
          <w:rFonts w:ascii="Cambria Math" w:eastAsia="Cambria Math" w:hAnsi="Cambria Math" w:cs="Cambria Math"/>
          <w:spacing w:val="8"/>
        </w:rPr>
        <w:t>‐</w:t>
      </w:r>
      <w:r>
        <w:rPr>
          <w:rStyle w:val="any"/>
          <w:rFonts w:ascii="Arial" w:eastAsia="Arial" w:hAnsi="Arial" w:cs="Arial"/>
          <w:spacing w:val="8"/>
        </w:rPr>
        <w:t>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82072708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81602080</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30901421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10</w:t>
      </w:r>
      <w:r>
        <w:rPr>
          <w:rStyle w:val="any"/>
          <w:rFonts w:ascii="PMingLiU" w:eastAsia="PMingLiU" w:hAnsi="PMingLiU" w:cs="PMingLiU"/>
          <w:spacing w:val="8"/>
        </w:rPr>
        <w:t>篇涉事论文多幅图片相同但代表不同含义，存在图片虚假的客观结果。</w:t>
      </w:r>
      <w:r>
        <w:rPr>
          <w:rStyle w:val="any"/>
          <w:rFonts w:ascii="Arial" w:eastAsia="Arial" w:hAnsi="Arial" w:cs="Arial"/>
          <w:spacing w:val="8"/>
        </w:rPr>
        <w:t>10</w:t>
      </w:r>
      <w:r>
        <w:rPr>
          <w:rStyle w:val="any"/>
          <w:rFonts w:ascii="PMingLiU" w:eastAsia="PMingLiU" w:hAnsi="PMingLiU" w:cs="PMingLiU"/>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此外，徐泽宽将论文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5</w:t>
      </w:r>
      <w:r>
        <w:rPr>
          <w:rStyle w:val="any"/>
          <w:rFonts w:ascii="PMingLiU" w:eastAsia="PMingLiU" w:hAnsi="PMingLiU" w:cs="PMingLiU"/>
          <w:spacing w:val="8"/>
        </w:rPr>
        <w:t>至论文</w:t>
      </w:r>
      <w:r>
        <w:rPr>
          <w:rStyle w:val="any"/>
          <w:rFonts w:ascii="Arial" w:eastAsia="Arial" w:hAnsi="Arial" w:cs="Arial"/>
          <w:spacing w:val="8"/>
        </w:rPr>
        <w:t>8</w:t>
      </w:r>
      <w:r>
        <w:rPr>
          <w:rStyle w:val="any"/>
          <w:rFonts w:ascii="PMingLiU" w:eastAsia="PMingLiU" w:hAnsi="PMingLiU" w:cs="PMingLiU"/>
          <w:spacing w:val="8"/>
        </w:rPr>
        <w:t>、论文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Arial" w:eastAsia="Arial" w:hAnsi="Arial" w:cs="Arial"/>
          <w:spacing w:val="8"/>
        </w:rPr>
        <w:t>“</w:t>
      </w:r>
      <w:r>
        <w:rPr>
          <w:rStyle w:val="any"/>
          <w:rFonts w:ascii="PMingLiU" w:eastAsia="PMingLiU" w:hAnsi="PMingLiU" w:cs="PMingLiU"/>
          <w:spacing w:val="8"/>
        </w:rPr>
        <w:t>幽门螺旋杆菌通过促进</w:t>
      </w:r>
      <w:r>
        <w:rPr>
          <w:rStyle w:val="any"/>
          <w:rFonts w:ascii="Arial" w:eastAsia="Arial" w:hAnsi="Arial" w:cs="Arial"/>
          <w:spacing w:val="8"/>
        </w:rPr>
        <w:t>BRD2m6A</w:t>
      </w:r>
      <w:r>
        <w:rPr>
          <w:rStyle w:val="any"/>
          <w:rFonts w:ascii="PMingLiU" w:eastAsia="PMingLiU" w:hAnsi="PMingLiU" w:cs="PMingLiU"/>
          <w:spacing w:val="8"/>
        </w:rPr>
        <w:t>修饰打破</w:t>
      </w:r>
      <w:r>
        <w:rPr>
          <w:rStyle w:val="any"/>
          <w:rFonts w:ascii="Arial" w:eastAsia="Arial" w:hAnsi="Arial" w:cs="Arial"/>
          <w:spacing w:val="8"/>
        </w:rPr>
        <w:t>FLIP/Caspase-8</w:t>
      </w:r>
      <w:r>
        <w:rPr>
          <w:rStyle w:val="any"/>
          <w:rFonts w:ascii="PMingLiU" w:eastAsia="PMingLiU" w:hAnsi="PMingLiU" w:cs="PMingLiU"/>
          <w:spacing w:val="8"/>
        </w:rPr>
        <w:t>稳态增强胃癌细胞化疗敏感性的机制研究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82072708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胃癌细胞来源外泌体</w:t>
      </w:r>
      <w:r>
        <w:rPr>
          <w:rStyle w:val="any"/>
          <w:rFonts w:ascii="Arial" w:eastAsia="Arial" w:hAnsi="Arial" w:cs="Arial"/>
          <w:spacing w:val="8"/>
        </w:rPr>
        <w:t>miR-519a-3p</w:t>
      </w:r>
      <w:r>
        <w:rPr>
          <w:rStyle w:val="any"/>
          <w:rFonts w:ascii="PMingLiU" w:eastAsia="PMingLiU" w:hAnsi="PMingLiU" w:cs="PMingLiU"/>
          <w:spacing w:val="8"/>
        </w:rPr>
        <w:t>通过抑制肝</w:t>
      </w:r>
      <w:r>
        <w:rPr>
          <w:rStyle w:val="any"/>
          <w:rFonts w:ascii="Arial" w:eastAsia="Arial" w:hAnsi="Arial" w:cs="Arial"/>
          <w:spacing w:val="8"/>
        </w:rPr>
        <w:t>Kupffer</w:t>
      </w:r>
      <w:r>
        <w:rPr>
          <w:rStyle w:val="any"/>
          <w:rFonts w:ascii="PMingLiU" w:eastAsia="PMingLiU" w:hAnsi="PMingLiU" w:cs="PMingLiU"/>
          <w:spacing w:val="8"/>
        </w:rPr>
        <w:t>细胞</w:t>
      </w:r>
      <w:r>
        <w:rPr>
          <w:rStyle w:val="any"/>
          <w:rFonts w:ascii="Arial" w:eastAsia="Arial" w:hAnsi="Arial" w:cs="Arial"/>
          <w:spacing w:val="8"/>
        </w:rPr>
        <w:t>Lefty1</w:t>
      </w:r>
      <w:r>
        <w:rPr>
          <w:rStyle w:val="any"/>
          <w:rFonts w:ascii="PMingLiU" w:eastAsia="PMingLiU" w:hAnsi="PMingLiU" w:cs="PMingLiU"/>
          <w:spacing w:val="8"/>
        </w:rPr>
        <w:t>分泌以促进肝转移灶形成的机制研究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慢性应激在胃癌发生过程中的作用及机制研究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MUC4</w:t>
      </w:r>
      <w:r>
        <w:rPr>
          <w:rStyle w:val="any"/>
          <w:rFonts w:ascii="PMingLiU" w:eastAsia="PMingLiU" w:hAnsi="PMingLiU" w:cs="PMingLiU"/>
          <w:spacing w:val="8"/>
        </w:rPr>
        <w:t>独有结构域</w:t>
      </w:r>
      <w:r>
        <w:rPr>
          <w:rStyle w:val="any"/>
          <w:rFonts w:ascii="Arial" w:eastAsia="Arial" w:hAnsi="Arial" w:cs="Arial"/>
          <w:spacing w:val="8"/>
        </w:rPr>
        <w:t>NIDO</w:t>
      </w:r>
      <w:r>
        <w:rPr>
          <w:rStyle w:val="any"/>
          <w:rFonts w:ascii="PMingLiU" w:eastAsia="PMingLiU" w:hAnsi="PMingLiU" w:cs="PMingLiU"/>
          <w:spacing w:val="8"/>
        </w:rPr>
        <w:t>、</w:t>
      </w:r>
      <w:r>
        <w:rPr>
          <w:rStyle w:val="any"/>
          <w:rFonts w:ascii="Arial" w:eastAsia="Arial" w:hAnsi="Arial" w:cs="Arial"/>
          <w:spacing w:val="8"/>
        </w:rPr>
        <w:t>AMOP</w:t>
      </w:r>
      <w:r>
        <w:rPr>
          <w:rStyle w:val="any"/>
          <w:rFonts w:ascii="PMingLiU" w:eastAsia="PMingLiU" w:hAnsi="PMingLiU" w:cs="PMingLiU"/>
          <w:spacing w:val="8"/>
        </w:rPr>
        <w:t>及</w:t>
      </w:r>
      <w:r>
        <w:rPr>
          <w:rStyle w:val="any"/>
          <w:rFonts w:ascii="Arial" w:eastAsia="Arial" w:hAnsi="Arial" w:cs="Arial"/>
          <w:spacing w:val="8"/>
        </w:rPr>
        <w:t>vWD</w:t>
      </w:r>
      <w:r>
        <w:rPr>
          <w:rStyle w:val="any"/>
          <w:rFonts w:ascii="PMingLiU" w:eastAsia="PMingLiU" w:hAnsi="PMingLiU" w:cs="PMingLiU"/>
          <w:spacing w:val="8"/>
        </w:rPr>
        <w:t>在胰腺癌特征性肿瘤学行为中的作用及机制研究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81272712</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异常表达微小</w:t>
      </w:r>
      <w:r>
        <w:rPr>
          <w:rStyle w:val="any"/>
          <w:rFonts w:ascii="Arial" w:eastAsia="Arial" w:hAnsi="Arial" w:cs="Arial"/>
          <w:spacing w:val="8"/>
        </w:rPr>
        <w:t>RNA</w:t>
      </w:r>
      <w:r>
        <w:rPr>
          <w:rStyle w:val="any"/>
          <w:rFonts w:ascii="PMingLiU" w:eastAsia="PMingLiU" w:hAnsi="PMingLiU" w:cs="PMingLiU"/>
          <w:spacing w:val="8"/>
        </w:rPr>
        <w:t>对胃癌发生发展过程的调控研究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81361120398</w:t>
      </w:r>
      <w:r>
        <w:rPr>
          <w:rStyle w:val="any"/>
          <w:rFonts w:ascii="PMingLiU" w:eastAsia="PMingLiU" w:hAnsi="PMingLiU" w:cs="PMingLiU"/>
          <w:spacing w:val="8"/>
        </w:rPr>
        <w:t>），追回上述</w:t>
      </w:r>
      <w:r>
        <w:rPr>
          <w:rStyle w:val="any"/>
          <w:rFonts w:ascii="Arial" w:eastAsia="Arial" w:hAnsi="Arial" w:cs="Arial"/>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国家自然科学基金委员会监督委员会对海南某高校周建等发表的论文</w:t>
      </w:r>
      <w:r>
        <w:rPr>
          <w:rStyle w:val="any"/>
          <w:rFonts w:ascii="Arial" w:eastAsia="Arial" w:hAnsi="Arial" w:cs="Arial"/>
          <w:spacing w:val="8"/>
        </w:rPr>
        <w:t>“</w:t>
      </w:r>
      <w:r>
        <w:rPr>
          <w:rStyle w:val="any"/>
          <w:rFonts w:ascii="Arial" w:eastAsia="Arial" w:hAnsi="Arial" w:cs="Arial"/>
          <w:spacing w:val="8"/>
        </w:rPr>
        <w:t>Jian Zhou</w:t>
      </w:r>
      <w:r>
        <w:rPr>
          <w:rStyle w:val="any"/>
          <w:rFonts w:ascii="Arial" w:eastAsia="Arial" w:hAnsi="Arial" w:cs="Arial"/>
          <w:spacing w:val="8"/>
          <w:vertAlign w:val="superscript"/>
        </w:rPr>
        <w:t>#</w:t>
      </w:r>
      <w:r>
        <w:rPr>
          <w:rStyle w:val="any"/>
          <w:rFonts w:ascii="Arial" w:eastAsia="Arial" w:hAnsi="Arial" w:cs="Arial"/>
          <w:spacing w:val="8"/>
        </w:rPr>
        <w:t>, et al. Resveratrol Improves Mitochondrial Biogenesis Function and Activates PGC-1</w:t>
      </w:r>
      <w:r>
        <w:rPr>
          <w:rStyle w:val="any"/>
          <w:rFonts w:ascii="Arial" w:eastAsia="Arial" w:hAnsi="Arial" w:cs="Arial"/>
          <w:spacing w:val="8"/>
        </w:rPr>
        <w:t>α</w:t>
      </w:r>
      <w:r>
        <w:rPr>
          <w:rStyle w:val="any"/>
          <w:rFonts w:ascii="Arial" w:eastAsia="Arial" w:hAnsi="Arial" w:cs="Arial"/>
          <w:spacing w:val="8"/>
        </w:rPr>
        <w:t> Pathway in a Preclinical Model of Early Brain Injury Following Subarachnoid Hemorrhage. Frontiers in Molecular Biosciences, 2021, 8: 620683</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经查，涉事论文图</w:t>
      </w:r>
      <w:r>
        <w:rPr>
          <w:rStyle w:val="any"/>
          <w:rFonts w:ascii="Arial" w:eastAsia="Arial" w:hAnsi="Arial" w:cs="Arial"/>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此外，周建将该论文列入基金项目（申请号</w:t>
      </w:r>
      <w:r>
        <w:rPr>
          <w:rStyle w:val="any"/>
          <w:rFonts w:ascii="Arial" w:eastAsia="Arial" w:hAnsi="Arial" w:cs="Arial"/>
          <w:spacing w:val="8"/>
        </w:rPr>
        <w:t>8236050550</w:t>
      </w:r>
      <w:r>
        <w:rPr>
          <w:rStyle w:val="any"/>
          <w:rFonts w:ascii="PMingLiU" w:eastAsia="PMingLiU" w:hAnsi="PMingLiU" w:cs="PMingLiU"/>
          <w:spacing w:val="8"/>
        </w:rPr>
        <w:t>、</w:t>
      </w:r>
      <w:r>
        <w:rPr>
          <w:rStyle w:val="any"/>
          <w:rFonts w:ascii="Arial" w:eastAsia="Arial" w:hAnsi="Arial" w:cs="Arial"/>
          <w:spacing w:val="8"/>
        </w:rPr>
        <w:t>8226050299</w:t>
      </w:r>
      <w:r>
        <w:rPr>
          <w:rStyle w:val="any"/>
          <w:rFonts w:ascii="PMingLiU" w:eastAsia="PMingLiU" w:hAnsi="PMingLiU" w:cs="PMingLiU"/>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经查，公绪合在单位具备研究条件的情况下将基金项目（批准号</w:t>
      </w:r>
      <w:r>
        <w:rPr>
          <w:rStyle w:val="any"/>
          <w:rFonts w:ascii="Arial" w:eastAsia="Arial" w:hAnsi="Arial" w:cs="Arial"/>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Arial" w:eastAsia="Arial" w:hAnsi="Arial" w:cs="Arial"/>
          <w:spacing w:val="8"/>
        </w:rPr>
        <w:t>“</w:t>
      </w:r>
      <w:r>
        <w:rPr>
          <w:rStyle w:val="any"/>
          <w:rFonts w:ascii="Arial" w:eastAsia="Arial" w:hAnsi="Arial" w:cs="Arial"/>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Arial" w:eastAsia="Arial" w:hAnsi="Arial" w:cs="Arial"/>
          <w:spacing w:val="8"/>
        </w:rPr>
        <w:t>81600196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Arial" w:eastAsia="Arial" w:hAnsi="Arial" w:cs="Arial"/>
          <w:spacing w:val="8"/>
        </w:rPr>
        <w:t>“</w:t>
      </w:r>
      <w:r>
        <w:rPr>
          <w:rStyle w:val="any"/>
          <w:rFonts w:ascii="PMingLiU" w:eastAsia="PMingLiU" w:hAnsi="PMingLiU" w:cs="PMingLiU"/>
          <w:spacing w:val="8"/>
        </w:rPr>
        <w:t>脐血间充质干细胞</w:t>
      </w:r>
      <w:r>
        <w:rPr>
          <w:rStyle w:val="any"/>
          <w:rFonts w:ascii="Arial" w:eastAsia="Arial" w:hAnsi="Arial" w:cs="Arial"/>
          <w:spacing w:val="8"/>
        </w:rPr>
        <w:t>Exosome</w:t>
      </w:r>
      <w:r>
        <w:rPr>
          <w:rStyle w:val="any"/>
          <w:rFonts w:ascii="PMingLiU" w:eastAsia="PMingLiU" w:hAnsi="PMingLiU" w:cs="PMingLiU"/>
          <w:spacing w:val="8"/>
        </w:rPr>
        <w:t>在旁分泌调节心肌梗死微环境改善心肌重塑中的作用和机制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经查，孙坤来在</w:t>
      </w:r>
      <w:r>
        <w:rPr>
          <w:rStyle w:val="any"/>
          <w:rFonts w:ascii="Arial" w:eastAsia="Arial" w:hAnsi="Arial" w:cs="Arial"/>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Arial" w:eastAsia="Arial" w:hAnsi="Arial" w:cs="Arial"/>
          <w:spacing w:val="8"/>
        </w:rPr>
        <w:t>“</w:t>
      </w:r>
      <w:r>
        <w:rPr>
          <w:rStyle w:val="any"/>
          <w:rFonts w:ascii="PMingLiU" w:eastAsia="PMingLiU" w:hAnsi="PMingLiU" w:cs="PMingLiU"/>
          <w:spacing w:val="8"/>
        </w:rPr>
        <w:t>单环刺螠多肽通过干预</w:t>
      </w:r>
      <w:r>
        <w:rPr>
          <w:rStyle w:val="any"/>
          <w:rFonts w:ascii="Arial" w:eastAsia="Arial" w:hAnsi="Arial" w:cs="Arial"/>
          <w:spacing w:val="8"/>
        </w:rPr>
        <w:t>ATP7A/7B</w:t>
      </w:r>
      <w:r>
        <w:rPr>
          <w:rStyle w:val="any"/>
          <w:rFonts w:ascii="PMingLiU" w:eastAsia="PMingLiU" w:hAnsi="PMingLiU" w:cs="PMingLiU"/>
          <w:spacing w:val="8"/>
        </w:rPr>
        <w:t>参与的顺铂囊泡转移影响肝癌细胞耐药的机制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国家自然科学基金委员会监督委员会对内蒙古民族大学魏成喜、宫国华、安凤毛、张彬、付丹妮等分别为相关责任作者发表的</w:t>
      </w:r>
      <w:r>
        <w:rPr>
          <w:rStyle w:val="any"/>
          <w:rFonts w:ascii="Arial" w:eastAsia="Arial" w:hAnsi="Arial" w:cs="Arial"/>
          <w:spacing w:val="8"/>
        </w:rPr>
        <w:t>10</w:t>
      </w:r>
      <w:r>
        <w:rPr>
          <w:rStyle w:val="any"/>
          <w:rFonts w:ascii="PMingLiU" w:eastAsia="PMingLiU" w:hAnsi="PMingLiU" w:cs="PMingLiU"/>
          <w:spacing w:val="8"/>
        </w:rPr>
        <w:t>篇论文</w:t>
      </w:r>
      <w:r>
        <w:rPr>
          <w:rStyle w:val="any"/>
          <w:rFonts w:ascii="Arial" w:eastAsia="Arial" w:hAnsi="Arial" w:cs="Arial"/>
          <w:spacing w:val="8"/>
        </w:rPr>
        <w:t>“</w:t>
      </w:r>
      <w:r>
        <w:rPr>
          <w:rStyle w:val="any"/>
          <w:rFonts w:ascii="Arial" w:eastAsia="Arial" w:hAnsi="Arial" w:cs="Arial"/>
          <w:spacing w:val="8"/>
        </w:rPr>
        <w:t>miR-15b represses BACE1 expression in sporadic Alzheimer</w:t>
      </w:r>
      <w:r>
        <w:rPr>
          <w:rStyle w:val="any"/>
          <w:rFonts w:ascii="Arial" w:eastAsia="Arial" w:hAnsi="Arial" w:cs="Arial"/>
          <w:spacing w:val="8"/>
        </w:rPr>
        <w:t>’</w:t>
      </w:r>
      <w:r>
        <w:rPr>
          <w:rStyle w:val="any"/>
          <w:rFonts w:ascii="Arial" w:eastAsia="Arial" w:hAnsi="Arial" w:cs="Arial"/>
          <w:spacing w:val="8"/>
        </w:rPr>
        <w:t>s disease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MiR-153 regulates expression of hypoxia-inducible factor-1</w:t>
      </w:r>
      <w:r>
        <w:rPr>
          <w:rStyle w:val="any"/>
          <w:rFonts w:ascii="Arial" w:eastAsia="Arial" w:hAnsi="Arial" w:cs="Arial"/>
          <w:spacing w:val="8"/>
        </w:rPr>
        <w:t>α</w:t>
      </w:r>
      <w:r>
        <w:rPr>
          <w:rStyle w:val="any"/>
          <w:rFonts w:ascii="Arial" w:eastAsia="Arial" w:hAnsi="Arial" w:cs="Arial"/>
          <w:spacing w:val="8"/>
        </w:rPr>
        <w:t> inrefractory epilepsy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Comprehensive circular RNA profiling reveals the regulatory role of the CircRNA-0067835/miR-155 pathway in temporal lobe epilepsy</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MiR-124 acts as a target for Alzheimer</w:t>
      </w:r>
      <w:r>
        <w:rPr>
          <w:rStyle w:val="any"/>
          <w:rFonts w:ascii="Arial" w:eastAsia="Arial" w:hAnsi="Arial" w:cs="Arial"/>
          <w:spacing w:val="8"/>
        </w:rPr>
        <w:t>’</w:t>
      </w:r>
      <w:r>
        <w:rPr>
          <w:rStyle w:val="any"/>
          <w:rFonts w:ascii="Arial" w:eastAsia="Arial" w:hAnsi="Arial" w:cs="Arial"/>
          <w:spacing w:val="8"/>
        </w:rPr>
        <w:t>s disease by regulating BACE1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LINC01087 is highly expressed in breast cancer and regulates the malignant behavior of cancer cells through miR-335-5p/rock1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Silenced long non-coding RNA activated by DNA damage elevates microRNA-495-3p to suppress atherosclerotic plaque formation via reducing Kr</w:t>
      </w:r>
      <w:r>
        <w:rPr>
          <w:rStyle w:val="any"/>
          <w:rFonts w:ascii="Arial" w:eastAsia="Arial" w:hAnsi="Arial" w:cs="Arial"/>
          <w:spacing w:val="8"/>
        </w:rPr>
        <w:t>ü</w:t>
      </w:r>
      <w:r>
        <w:rPr>
          <w:rStyle w:val="any"/>
          <w:rFonts w:ascii="Arial" w:eastAsia="Arial" w:hAnsi="Arial" w:cs="Arial"/>
          <w:spacing w:val="8"/>
        </w:rPr>
        <w:t>ppel-like factor 5</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Circular RNA circ_0084927 regulates proliferation, apoptosis and invasion of breast cancer cells via miR-142-3p/ERC1 pathway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CircUBR5 acts as a ceRNA for miR-1179 to up-regulate UBR5 and to promote malignancy of triple-negative breast cancer</w:t>
      </w:r>
      <w:r>
        <w:rPr>
          <w:rStyle w:val="any"/>
          <w:rFonts w:ascii="Arial" w:eastAsia="Arial" w:hAnsi="Arial" w:cs="Arial"/>
          <w:spacing w:val="8"/>
        </w:rPr>
        <w:t>”</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Long non-coding RNA Sox2OT promotes coronary microembolization-induced myocardial injury by mediating pyroptosis</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Extracellular vesicles derived from human bone marrow mesenchymal stem cells protect rats against acute myocardial infarction-induced heart failure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81860769</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w:t>
      </w:r>
      <w:r>
        <w:rPr>
          <w:rStyle w:val="any"/>
          <w:rFonts w:ascii="PMingLiU" w:eastAsia="PMingLiU" w:hAnsi="PMingLiU" w:cs="PMingLiU"/>
          <w:spacing w:val="8"/>
        </w:rPr>
        <w:t>测序和</w:t>
      </w:r>
      <w:r>
        <w:rPr>
          <w:rStyle w:val="any"/>
          <w:rFonts w:ascii="Arial" w:eastAsia="Arial" w:hAnsi="Arial" w:cs="Arial"/>
          <w:spacing w:val="8"/>
        </w:rPr>
        <w:t>iTRAQ</w:t>
      </w:r>
      <w:r>
        <w:rPr>
          <w:rStyle w:val="any"/>
          <w:rFonts w:ascii="PMingLiU" w:eastAsia="PMingLiU" w:hAnsi="PMingLiU" w:cs="PMingLiU"/>
          <w:spacing w:val="8"/>
        </w:rPr>
        <w:t>标记定量蛋白组等系统生物学技术探讨蒙药乳腺</w:t>
      </w:r>
      <w:r>
        <w:rPr>
          <w:rStyle w:val="any"/>
          <w:rFonts w:ascii="Arial" w:eastAsia="Arial" w:hAnsi="Arial" w:cs="Arial"/>
          <w:spacing w:val="8"/>
        </w:rPr>
        <w:t>-I</w:t>
      </w:r>
      <w:r>
        <w:rPr>
          <w:rStyle w:val="any"/>
          <w:rFonts w:ascii="PMingLiU" w:eastAsia="PMingLiU" w:hAnsi="PMingLiU" w:cs="PMingLiU"/>
          <w:spacing w:val="8"/>
        </w:rPr>
        <w:t>号治疗乳腺增生病的作用机制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81460655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蒙药苏格木勒</w:t>
      </w:r>
      <w:r>
        <w:rPr>
          <w:rStyle w:val="any"/>
          <w:rFonts w:ascii="Arial" w:eastAsia="Arial" w:hAnsi="Arial" w:cs="Arial"/>
          <w:spacing w:val="8"/>
        </w:rPr>
        <w:t>-3</w:t>
      </w:r>
      <w:r>
        <w:rPr>
          <w:rStyle w:val="any"/>
          <w:rFonts w:ascii="PMingLiU" w:eastAsia="PMingLiU" w:hAnsi="PMingLiU" w:cs="PMingLiU"/>
          <w:spacing w:val="8"/>
        </w:rPr>
        <w:t>汤调控内质网应激</w:t>
      </w:r>
      <w:r>
        <w:rPr>
          <w:rStyle w:val="any"/>
          <w:rFonts w:ascii="Arial" w:eastAsia="Arial" w:hAnsi="Arial" w:cs="Arial"/>
          <w:spacing w:val="8"/>
        </w:rPr>
        <w:t>/</w:t>
      </w:r>
      <w:r>
        <w:rPr>
          <w:rStyle w:val="any"/>
          <w:rFonts w:ascii="PMingLiU" w:eastAsia="PMingLiU" w:hAnsi="PMingLiU" w:cs="PMingLiU"/>
          <w:spacing w:val="8"/>
        </w:rPr>
        <w:t>缝隙连接蛋白抗癫痫作用及其机制研究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81660675</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依据《国家自然科学基金项目科研不端行为调查处理办法》第三条第三项，第四十七条，第四十二条第二项，第四十条，第四十五条第四项、第六项，第四十六条，撤销宫国华国家自然科学基金项目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RNA-Seq</w:t>
      </w:r>
      <w:r>
        <w:rPr>
          <w:rStyle w:val="any"/>
          <w:rFonts w:ascii="PMingLiU" w:eastAsia="PMingLiU" w:hAnsi="PMingLiU" w:cs="PMingLiU"/>
          <w:spacing w:val="8"/>
        </w:rPr>
        <w:t>和</w:t>
      </w:r>
      <w:r>
        <w:rPr>
          <w:rStyle w:val="any"/>
          <w:rFonts w:ascii="Arial" w:eastAsia="Arial" w:hAnsi="Arial" w:cs="Arial"/>
          <w:spacing w:val="8"/>
        </w:rPr>
        <w:t>iTRAQ</w:t>
      </w:r>
      <w:r>
        <w:rPr>
          <w:rStyle w:val="any"/>
          <w:rFonts w:ascii="PMingLiU" w:eastAsia="PMingLiU" w:hAnsi="PMingLiU" w:cs="PMingLiU"/>
          <w:spacing w:val="8"/>
        </w:rPr>
        <w:t>技术的蒙药苏格木勒</w:t>
      </w:r>
      <w:r>
        <w:rPr>
          <w:rStyle w:val="any"/>
          <w:rFonts w:ascii="Arial" w:eastAsia="Arial" w:hAnsi="Arial" w:cs="Arial"/>
          <w:spacing w:val="8"/>
        </w:rPr>
        <w:t>-3</w:t>
      </w:r>
      <w:r>
        <w:rPr>
          <w:rStyle w:val="any"/>
          <w:rFonts w:ascii="PMingLiU" w:eastAsia="PMingLiU" w:hAnsi="PMingLiU" w:cs="PMingLiU"/>
          <w:spacing w:val="8"/>
        </w:rPr>
        <w:t>汤治疗</w:t>
      </w:r>
      <w:r>
        <w:rPr>
          <w:rStyle w:val="any"/>
          <w:rFonts w:ascii="Arial" w:eastAsia="Arial" w:hAnsi="Arial" w:cs="Arial"/>
          <w:spacing w:val="8"/>
        </w:rPr>
        <w:t>‘</w:t>
      </w:r>
      <w:r>
        <w:rPr>
          <w:rStyle w:val="any"/>
          <w:rFonts w:ascii="PMingLiU" w:eastAsia="PMingLiU" w:hAnsi="PMingLiU" w:cs="PMingLiU"/>
          <w:spacing w:val="8"/>
        </w:rPr>
        <w:t>乌那德格额布秦</w:t>
      </w:r>
      <w:r>
        <w:rPr>
          <w:rStyle w:val="any"/>
          <w:rFonts w:ascii="Arial" w:eastAsia="Arial" w:hAnsi="Arial" w:cs="Arial"/>
          <w:spacing w:val="8"/>
        </w:rPr>
        <w:t>’</w:t>
      </w:r>
      <w:r>
        <w:rPr>
          <w:rStyle w:val="any"/>
          <w:rFonts w:ascii="PMingLiU" w:eastAsia="PMingLiU" w:hAnsi="PMingLiU" w:cs="PMingLiU"/>
          <w:spacing w:val="8"/>
        </w:rPr>
        <w:t>病机制研究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依据《国家自然科学基金项目科研不端行为调查处理办法》第三条第三项，第四十七条，第四十二条第二项，第四十条，第四十五条第四项，第四十六条，撤销安凤毛国家自然科学基金项目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w:t>
      </w:r>
      <w:r>
        <w:rPr>
          <w:rStyle w:val="any"/>
          <w:rFonts w:ascii="Arial" w:eastAsia="Arial" w:hAnsi="Arial" w:cs="Arial"/>
          <w:spacing w:val="8"/>
        </w:rPr>
        <w:t>tau</w:t>
      </w:r>
      <w:r>
        <w:rPr>
          <w:rStyle w:val="any"/>
          <w:rFonts w:ascii="PMingLiU" w:eastAsia="PMingLiU" w:hAnsi="PMingLiU" w:cs="PMingLiU"/>
          <w:spacing w:val="8"/>
        </w:rPr>
        <w:t>蛋白</w:t>
      </w:r>
      <w:r>
        <w:rPr>
          <w:rStyle w:val="any"/>
          <w:rFonts w:ascii="Arial" w:eastAsia="Arial" w:hAnsi="Arial" w:cs="Arial"/>
          <w:spacing w:val="8"/>
        </w:rPr>
        <w:t>’</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AGEs/RAGE/ROS</w:t>
      </w:r>
      <w:r>
        <w:rPr>
          <w:rStyle w:val="any"/>
          <w:rFonts w:ascii="PMingLiU" w:eastAsia="PMingLiU" w:hAnsi="PMingLiU" w:cs="PMingLiU"/>
          <w:spacing w:val="8"/>
        </w:rPr>
        <w:t>信号轴</w:t>
      </w:r>
      <w:r>
        <w:rPr>
          <w:rStyle w:val="any"/>
          <w:rFonts w:ascii="Arial" w:eastAsia="Arial" w:hAnsi="Arial" w:cs="Arial"/>
          <w:spacing w:val="8"/>
        </w:rPr>
        <w:t>’</w:t>
      </w:r>
      <w:r>
        <w:rPr>
          <w:rStyle w:val="any"/>
          <w:rFonts w:ascii="PMingLiU" w:eastAsia="PMingLiU" w:hAnsi="PMingLiU" w:cs="PMingLiU"/>
          <w:spacing w:val="8"/>
        </w:rPr>
        <w:t>探讨蒙药三味豆蔻汤防治</w:t>
      </w:r>
      <w:r>
        <w:rPr>
          <w:rStyle w:val="any"/>
          <w:rFonts w:ascii="Arial" w:eastAsia="Arial" w:hAnsi="Arial" w:cs="Arial"/>
          <w:spacing w:val="8"/>
        </w:rPr>
        <w:t>AD</w:t>
      </w:r>
      <w:r>
        <w:rPr>
          <w:rStyle w:val="any"/>
          <w:rFonts w:ascii="PMingLiU" w:eastAsia="PMingLiU" w:hAnsi="PMingLiU" w:cs="PMingLiU"/>
          <w:spacing w:val="8"/>
        </w:rPr>
        <w:t>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依据《国家自然科学基金项目科研不端行为调查处理办法》第三条第三项，第四十七条，第四十二条第二项，第四十条，第四十五条第四项、第六项，撤销张彬国家自然科学基金项目</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w:t>
      </w:r>
      <w:r>
        <w:rPr>
          <w:rStyle w:val="any"/>
          <w:rFonts w:ascii="MS UI Gothic" w:eastAsia="MS UI Gothic" w:hAnsi="MS UI Gothic" w:cs="MS UI Gothic"/>
          <w:spacing w:val="8"/>
        </w:rPr>
        <w:t>Ⅰ</w:t>
      </w:r>
      <w:r>
        <w:rPr>
          <w:rStyle w:val="any"/>
          <w:rFonts w:ascii="PMingLiU" w:eastAsia="PMingLiU" w:hAnsi="PMingLiU" w:cs="PMingLiU"/>
          <w:spacing w:val="8"/>
        </w:rPr>
        <w:t>号治疗实验动物乳腺增生症的作用靶点及分子机制研究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81373573</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-I</w:t>
      </w:r>
      <w:r>
        <w:rPr>
          <w:rStyle w:val="any"/>
          <w:rFonts w:ascii="PMingLiU" w:eastAsia="PMingLiU" w:hAnsi="PMingLiU" w:cs="PMingLiU"/>
          <w:spacing w:val="8"/>
        </w:rPr>
        <w:t>号通过</w:t>
      </w:r>
      <w:r>
        <w:rPr>
          <w:rStyle w:val="any"/>
          <w:rFonts w:ascii="Arial" w:eastAsia="Arial" w:hAnsi="Arial" w:cs="Arial"/>
          <w:spacing w:val="8"/>
        </w:rPr>
        <w:t>CRYAB</w:t>
      </w:r>
      <w:r>
        <w:rPr>
          <w:rStyle w:val="any"/>
          <w:rFonts w:ascii="PMingLiU" w:eastAsia="PMingLiU" w:hAnsi="PMingLiU" w:cs="PMingLiU"/>
          <w:spacing w:val="8"/>
        </w:rPr>
        <w:t>蛋白调节内质网应激通路治疗实验动物乳腺增生症机制研究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81873313</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621&amp;idx=1&amp;sn=ed2e808a1fa26c809aa1884506d466a0"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