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中南大学湘雅二医院、南华大学第一附属医院联合发文陷撤稿困境，图片重复引反思</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2025-04-10 23:59:00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6037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TIPE2 suppresses atherosclerosis by exerting a protective effect on macrophages via the inhibition of the Akt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2019</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2</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26</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中南大学湘雅二医院</w:t>
      </w:r>
      <w:r>
        <w:rPr>
          <w:rStyle w:val="any"/>
          <w:rFonts w:ascii="Times New Roman" w:eastAsia="Times New Roman" w:hAnsi="Times New Roman" w:cs="Times New Roman"/>
          <w:b w:val="0"/>
          <w:bCs w:val="0"/>
          <w:spacing w:val="8"/>
          <w:sz w:val="21"/>
          <w:szCs w:val="21"/>
        </w:rPr>
        <w:t> </w:t>
      </w:r>
      <w:r>
        <w:rPr>
          <w:rStyle w:val="any"/>
          <w:rFonts w:ascii="Times New Roman" w:eastAsia="Times New Roman" w:hAnsi="Times New Roman" w:cs="Times New Roman"/>
          <w:b w:val="0"/>
          <w:bCs w:val="0"/>
          <w:spacing w:val="8"/>
          <w:sz w:val="21"/>
          <w:szCs w:val="21"/>
        </w:rPr>
        <w:t>Dan Li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南华大学第一附属医院</w:t>
      </w:r>
      <w:r>
        <w:rPr>
          <w:rStyle w:val="any"/>
          <w:rFonts w:ascii="Times New Roman" w:eastAsia="Times New Roman" w:hAnsi="Times New Roman" w:cs="Times New Roman"/>
          <w:b w:val="0"/>
          <w:bCs w:val="0"/>
          <w:spacing w:val="8"/>
          <w:sz w:val="21"/>
          <w:szCs w:val="21"/>
        </w:rPr>
        <w:t> </w:t>
      </w:r>
      <w:r>
        <w:rPr>
          <w:rStyle w:val="any"/>
          <w:rFonts w:ascii="Times New Roman" w:eastAsia="Times New Roman" w:hAnsi="Times New Roman" w:cs="Times New Roman"/>
          <w:b w:val="0"/>
          <w:bCs w:val="0"/>
          <w:spacing w:val="8"/>
          <w:sz w:val="21"/>
          <w:szCs w:val="21"/>
        </w:rPr>
        <w:t>Ying Tan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E</w:t>
      </w:r>
      <w:r>
        <w:rPr>
          <w:rStyle w:val="any"/>
          <w:rFonts w:ascii="Times New Roman" w:eastAsia="Times New Roman" w:hAnsi="Times New Roman" w:cs="Times New Roman"/>
          <w:b/>
          <w:bCs/>
          <w:i/>
          <w:iCs/>
          <w:spacing w:val="8"/>
          <w:sz w:val="21"/>
          <w:szCs w:val="21"/>
        </w:rPr>
        <w:t>xperimental and Therapeutic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22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57769" name=""/>
                    <pic:cNvPicPr>
                      <a:picLocks noChangeAspect="1"/>
                    </pic:cNvPicPr>
                  </pic:nvPicPr>
                  <pic:blipFill>
                    <a:blip xmlns:r="http://schemas.openxmlformats.org/officeDocument/2006/relationships" r:embed="rId7"/>
                    <a:stretch>
                      <a:fillRect/>
                    </a:stretch>
                  </pic:blipFill>
                  <pic:spPr>
                    <a:xfrm>
                      <a:off x="0" y="0"/>
                      <a:ext cx="5486400" cy="359228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2042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Zhu et al 2019 [retracted]</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4B</w:t>
      </w:r>
      <w:r>
        <w:rPr>
          <w:rStyle w:val="any"/>
          <w:rFonts w:ascii="PMingLiU" w:eastAsia="PMingLiU" w:hAnsi="PMingLiU" w:cs="PMingLiU"/>
          <w:b/>
          <w:bCs/>
          <w:spacing w:val="8"/>
          <w:sz w:val="21"/>
          <w:szCs w:val="21"/>
        </w:rPr>
        <w:t>出现重复。</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4:</w:t>
      </w: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A panel overlaps with Fig 4B from "Propofol Suppresses Proliferation, Migration, Invasion And Promotes Apoptosis By Upregulating microRNA-140-5p In Gastric Cancer Cells" (Zhu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68" w:lineRule="atLeast"/>
        <w:ind w:left="300" w:right="300"/>
        <w:jc w:val="center"/>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46636" name=""/>
                    <pic:cNvPicPr>
                      <a:picLocks noChangeAspect="1"/>
                    </pic:cNvPicPr>
                  </pic:nvPicPr>
                  <pic:blipFill>
                    <a:blip xmlns:r="http://schemas.openxmlformats.org/officeDocument/2006/relationships" r:embed="rId8"/>
                    <a:stretch>
                      <a:fillRect/>
                    </a:stretch>
                  </pic:blipFill>
                  <pic:spPr>
                    <a:xfrm>
                      <a:off x="0" y="0"/>
                      <a:ext cx="5486400" cy="1310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3728"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 xml:space="preserve">#2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1C</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Li et al 2017</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5</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al.2022</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2F</w:t>
      </w:r>
      <w:r>
        <w:rPr>
          <w:rStyle w:val="any"/>
          <w:rFonts w:ascii="PMingLiU" w:eastAsia="PMingLiU" w:hAnsi="PMingLiU" w:cs="PMingLiU"/>
          <w:b/>
          <w:bCs/>
          <w:spacing w:val="8"/>
          <w:sz w:val="21"/>
          <w:szCs w:val="21"/>
        </w:rPr>
        <w:t>出现重复。</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1"/>
          <w:szCs w:val="21"/>
          <w:shd w:val="clear" w:color="auto" w:fill="FFFFFF"/>
        </w:rPr>
        <w:t>Fig 1C.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830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38583" name=""/>
                    <pic:cNvPicPr>
                      <a:picLocks noChangeAspect="1"/>
                    </pic:cNvPicPr>
                  </pic:nvPicPr>
                  <pic:blipFill>
                    <a:blip xmlns:r="http://schemas.openxmlformats.org/officeDocument/2006/relationships" r:embed="rId10"/>
                    <a:stretch>
                      <a:fillRect/>
                    </a:stretch>
                  </pic:blipFill>
                  <pic:spPr>
                    <a:xfrm>
                      <a:off x="0" y="0"/>
                      <a:ext cx="5486400" cy="5583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[left] Fig 5 from "PTENP1 acts as a ceRNA to regulate PTEN by sponging miR-19b and explores the biological role of PTENP1 in breast cancer" (Li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2F from "MiR-223-3p affects myocardial inflammation and apoptosis following myocardial infarction via targeting FBXW7" (Zhang et al 2022).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80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1602" name=""/>
                    <pic:cNvPicPr>
                      <a:picLocks noChangeAspect="1"/>
                    </pic:cNvPicPr>
                  </pic:nvPicPr>
                  <pic:blipFill>
                    <a:blip xmlns:r="http://schemas.openxmlformats.org/officeDocument/2006/relationships" r:embed="rId11"/>
                    <a:stretch>
                      <a:fillRect/>
                    </a:stretch>
                  </pic:blipFill>
                  <pic:spPr>
                    <a:xfrm>
                      <a:off x="0" y="0"/>
                      <a:ext cx="5486400" cy="22809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7910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2024</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12</w:t>
      </w:r>
      <w:r>
        <w:rPr>
          <w:rStyle w:val="any"/>
          <w:rFonts w:ascii="PMingLiU" w:eastAsia="PMingLiU" w:hAnsi="PMingLiU" w:cs="PMingLiU"/>
          <w:b/>
          <w:bCs/>
          <w:spacing w:val="8"/>
          <w:sz w:val="21"/>
          <w:szCs w:val="21"/>
        </w:rPr>
        <w:t>月</w:t>
      </w:r>
      <w:r>
        <w:rPr>
          <w:rStyle w:val="any"/>
          <w:rFonts w:ascii="Times New Roman" w:eastAsia="Times New Roman" w:hAnsi="Times New Roman" w:cs="Times New Roman"/>
          <w:b/>
          <w:bCs/>
          <w:spacing w:val="8"/>
          <w:sz w:val="21"/>
          <w:szCs w:val="21"/>
        </w:rPr>
        <w:t>16</w:t>
      </w:r>
      <w:r>
        <w:rPr>
          <w:rStyle w:val="any"/>
          <w:rFonts w:ascii="PMingLiU" w:eastAsia="PMingLiU" w:hAnsi="PMingLiU" w:cs="PMingLiU"/>
          <w:b/>
          <w:bCs/>
          <w:spacing w:val="8"/>
          <w:sz w:val="21"/>
          <w:szCs w:val="21"/>
        </w:rPr>
        <w:t>日撤回：</w:t>
      </w:r>
      <w:r>
        <w:rPr>
          <w:rStyle w:val="any"/>
          <w:rFonts w:ascii="PMingLiU" w:eastAsia="PMingLiU" w:hAnsi="PMingLiU" w:cs="PMingLiU"/>
          <w:spacing w:val="8"/>
          <w:sz w:val="21"/>
          <w:szCs w:val="21"/>
        </w:rPr>
        <w:t>这篇论文发表后，一位相关读者提请编辑注意，第</w:t>
      </w:r>
      <w:r>
        <w:rPr>
          <w:rStyle w:val="any"/>
          <w:rFonts w:ascii="Times New Roman" w:eastAsia="Times New Roman" w:hAnsi="Times New Roman" w:cs="Times New Roman"/>
          <w:spacing w:val="8"/>
          <w:sz w:val="21"/>
          <w:szCs w:val="21"/>
        </w:rPr>
        <w:t xml:space="preserve"> 2940 </w:t>
      </w:r>
      <w:r>
        <w:rPr>
          <w:rStyle w:val="any"/>
          <w:rFonts w:ascii="PMingLiU" w:eastAsia="PMingLiU" w:hAnsi="PMingLiU" w:cs="PMingLiU"/>
          <w:spacing w:val="8"/>
          <w:sz w:val="21"/>
          <w:szCs w:val="21"/>
        </w:rPr>
        <w:t>页图</w:t>
      </w:r>
      <w:r>
        <w:rPr>
          <w:rStyle w:val="any"/>
          <w:rFonts w:ascii="Times New Roman" w:eastAsia="Times New Roman" w:hAnsi="Times New Roman" w:cs="Times New Roman"/>
          <w:spacing w:val="8"/>
          <w:sz w:val="21"/>
          <w:szCs w:val="21"/>
        </w:rPr>
        <w:t xml:space="preserve"> 1C </w:t>
      </w:r>
      <w:r>
        <w:rPr>
          <w:rStyle w:val="any"/>
          <w:rFonts w:ascii="PMingLiU" w:eastAsia="PMingLiU" w:hAnsi="PMingLiU" w:cs="PMingLiU"/>
          <w:spacing w:val="8"/>
          <w:sz w:val="21"/>
          <w:szCs w:val="21"/>
        </w:rPr>
        <w:t>所示的大部分流式细胞检测数据与另一篇由不同研究机构的不同作者撰写的文章中以不同形式出现的数据惊人地相似，而这篇文章在这篇论文提交给《实验与治疗医学》之前已发表在《癌症基因治疗》杂志上。鉴于上述数据显然已在此前发表过，《实验与治疗医学》编辑决定从该杂志上撤回这篇论文。已要求作者就上述问题做出解释，但编辑部未收到回复。对于给读者带来的不便，编辑深表歉意。</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bCs/>
          <w:i w:val="0"/>
          <w:iCs w:val="0"/>
          <w:caps w:val="0"/>
          <w:color w:val="1B1B1B"/>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湖南省卫生计生委基金（基金号：20180200）</w:t>
      </w: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湖南省自然科学基金（基金号：13JJ6092）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https://pubpeer.com/publications/D5CB5A77EF8BD901A20E648493272B</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https://www.spandidos-publications.com/10.3892/etm.2019.7316</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5594&amp;idx=1&amp;sn=42cb4385faebb24d4c039b0243fbf49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