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66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四川大学Yang Changkai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57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4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9715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69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https://pubpeer.com/publications/52D0EAE627DA0742D461E07D05377B#0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68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9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2&amp;sn=78a5db809476e41a34f8ad72b79cc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