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: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中国打响降低医院论文撤稿率之战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23:00:38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927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4539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07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5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2025 年 4 月 1 日，来自中国北京朝阳医院的 Gong Jie Zhang 和 Ya Bin Zhou 发文指出，《自然》杂志（Nature 638, 596–599; 2025）曾报道中国医院出版物撤稿率高这一问题。但实际上，中国已采取措施降低医院论文撤稿率。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8968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87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8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自 2021 年以来，涉及中国共同作者的被撤稿论文超过 17000 篇，主要问题包括抄袭、数据造假和论文工厂等。为应对这一情况，2024 年初，教育部要求高校提交过去三年所有撤稿的详细报告，旨在查明原因并加强问责。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7808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823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同时，一些中国机构，如医院，也出台内部政策改善研究监督，努力加强同行评审流程，减轻发表压力，以减少学术不端行为。这些举措反映了中国在维护其不断增长的科学声誉方面的努力，尽管由于研究产出规模大以及存在重数量轻质量的系统性激励机制，挑战依然存在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https://www.nature.com/articles/d41586-023-03974-8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https://www.nature.com/articles/d41586-025-01007-0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404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81&amp;idx=1&amp;sn=a618c811b5c575442cd7f605967e76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