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Res Ethics: 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筛查学术不端需规范指引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23:51:45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671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216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13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月，《</w:t>
      </w:r>
      <w:r>
        <w:rPr>
          <w:rStyle w:val="any"/>
          <w:rFonts w:ascii="Times New Roman" w:eastAsia="Times New Roman" w:hAnsi="Times New Roman" w:cs="Times New Roman"/>
          <w:spacing w:val="8"/>
        </w:rPr>
        <w:t>Res Ethics</w:t>
      </w:r>
      <w:r>
        <w:rPr>
          <w:rStyle w:val="any"/>
          <w:rFonts w:ascii="PMingLiU" w:eastAsia="PMingLiU" w:hAnsi="PMingLiU" w:cs="PMingLiU"/>
          <w:spacing w:val="8"/>
        </w:rPr>
        <w:t>》杂志第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期发表了一篇研究论文，论文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10.1177/17470161241254052 </w:t>
      </w:r>
      <w:r>
        <w:rPr>
          <w:rStyle w:val="any"/>
          <w:rFonts w:ascii="PMingLiU" w:eastAsia="PMingLiU" w:hAnsi="PMingLiU" w:cs="PMingLiU"/>
          <w:spacing w:val="8"/>
        </w:rPr>
        <w:t>，早在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日就已线上发布。该研究由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Mohammad Hosseini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David B Resnik </w:t>
      </w:r>
      <w:r>
        <w:rPr>
          <w:rStyle w:val="any"/>
          <w:rFonts w:ascii="PMingLiU" w:eastAsia="PMingLiU" w:hAnsi="PMingLiU" w:cs="PMingLiU"/>
          <w:spacing w:val="8"/>
        </w:rPr>
        <w:t>进行。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如今，期刊和出版商越来越多地借助人工智能（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）筛查投稿中的潜在不当行为，像抄袭、数据或图像篡改等。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AI </w:t>
      </w:r>
      <w:r>
        <w:rPr>
          <w:rStyle w:val="any"/>
          <w:rFonts w:ascii="PMingLiU" w:eastAsia="PMingLiU" w:hAnsi="PMingLiU" w:cs="PMingLiU"/>
          <w:spacing w:val="8"/>
        </w:rPr>
        <w:t>的运用虽能提升已发表稿件的完整性，却也增加了出现错误或无根据指控的风险。同时，期刊和出版商在公平性与透明度方面责任的模糊性，也引发了伦理担忧。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对此，研究人员给出以下指导建议：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所有由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工具识别出的疑似</w:t>
      </w:r>
      <w:r>
        <w:rPr>
          <w:rStyle w:val="any"/>
          <w:rFonts w:ascii="PMingLiU" w:eastAsia="PMingLiU" w:hAnsi="PMingLiU" w:cs="PMingLiU"/>
          <w:spacing w:val="8"/>
        </w:rPr>
        <w:t>学术不端行为案例，都需经人工仔细审核，以核实准确性并确保可问责。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使用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工具检测</w:t>
      </w:r>
      <w:r>
        <w:rPr>
          <w:rStyle w:val="any"/>
          <w:rFonts w:ascii="PMingLiU" w:eastAsia="PMingLiU" w:hAnsi="PMingLiU" w:cs="PMingLiU"/>
          <w:spacing w:val="8"/>
        </w:rPr>
        <w:t>学术不端的期刊或出版商，应仅采用经过充分测试且可靠的工具，对这些工具无法检测到的不当行为形式保持警惕，并紧跟技术发展。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期刊或出版商应将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工具识别出的异常情况告知作者，在依据出版伦理委员会指南将指控提交给相关机构前，给作者回应的机会。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利用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工具检测</w:t>
      </w:r>
      <w:r>
        <w:rPr>
          <w:rStyle w:val="any"/>
          <w:rFonts w:ascii="PMingLiU" w:eastAsia="PMingLiU" w:hAnsi="PMingLiU" w:cs="PMingLiU"/>
          <w:spacing w:val="8"/>
        </w:rPr>
        <w:t>学术不端的期刊或出版商，应对所有相关投稿进行筛查，而非仅随机或有目的地挑选部分投稿。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期刊应向作者明确其对不当行为的定义、使用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工具检测学术不端行为的情况，以及应对疑似不当行为案例的政策和程序。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这项研究成果对于规范期刊利用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筛查投稿行为、保障学术出版的公正性和透明性有着重要意义，为期刊和出版商在这一领域的操作提供了关键指导。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https://pubmed.ncbi.nlm.nih.gov/39810931/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758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238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803&amp;idx=2&amp;sn=4241a26f6484b8bab560c6707b4170b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