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研究方法存在缺陷影响结论可靠性，济宁医学院附属医院的论文被撤稿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31489990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2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74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67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2018年5月12日，济宁医学院附属医院在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Journal of Cellular Biochemistry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miR-125a-3p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通过靶向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MMP11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Min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Jing Chen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陈京），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Pengfei Yi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伊鹏飞）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32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5" name="" descr="济宁市太白湖新区管理委员会 太白湖要闻 济宁医学院附属医院（太白湖）揭牌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7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1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[left] Fig 4F.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21822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81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4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本文已于2025年3月30日被撤回：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上述文章于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日在线发表于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在线图书馆（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wileyonlinelibrary.com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），经作者、期刊主编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以及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期刊有限责任公司（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）三方协商一致，现已撤回。此次撤稿是应作者要求而达成的共识。作者向期刊方通报了影响研究结论可靠性的方法学缺陷。因此，鉴于编辑方认可所报告的问题及其对研究结果有效性的影响，该文章予以撤回。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https://pubpeer.com/publications/2DDE9B54E5F4B0CBE8892BE92BCF70#0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https://pubmed.ncbi.nlm.nih.gov/31489990/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https://onlinelibrary.wiley.com/doi/10.1002/jcb.70014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33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45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5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76&amp;idx=3&amp;sn=a5b21e20a22554e9b04ab0a9905a0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