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重磅发布！学术大筛查发现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提取部分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)! 20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多个基金支持换来一堆图片重复？天津市肿瘤医院院长郝继辉团队两篇论文存在多处图像问题！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39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85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4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2025年2月7日，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Journal of Medicinal Chemistry(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IF=6.8)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Novel Indoleamine-2,3-Dioxygenase-Targeted Pt(IV) Prodrugs Regulate the Tumor Immune Microenvironment to Achieve Chemoimmunotherapy In Vitro and In Vivo"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新型吲哚胺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-2,3-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二氧合酶靶向铂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(IV)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原药调节肿瘤免疫微环境，实现体外和体内化学免疫疗法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Zhe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Ji-Hui Hao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郝继辉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Jing-Yuan Xu 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徐靖源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Yu-Kuan Feng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冯玉宽）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本研究工作得到了中国国家重点研发计划（项目号：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2021YFA1201100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）和中国国家自然科学基金（项目号：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22377090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82030092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82271895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82072752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21977080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6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95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828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79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0480"/>
            <wp:docPr id="100006" name="" descr="天津医科大学是几本是211?师资排名揭秘?有哪些强势专业好就业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86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82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经过DataTwin检测，本文的Fig3a 存在一处重叠面板，且实验条件不同。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35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2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2024年1月20日，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Oncogene(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IF=6.9)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Tumor-derived interleukin 35 mediates the dissemination of gemcitabine resistance in pancreatic adenocarcinoma"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肿瘤源性白细胞介素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35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在胰腺腺癌中介导吉西他滨耐药性的传播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Huizhi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Chongbiao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黄崇标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Jihui Hao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郝继辉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Antao Chang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常安涛）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本研究工作得到了以下基金项目的支持：中国国家自然科学基金（项目号：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82072659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82272680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82272799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82030092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82271895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82072752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82072657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82072716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82173295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82072691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82272767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82273362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82103006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82103222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82273259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82273284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82203402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82203019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82203169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；天津市杰出青年学者科学基金（项目号：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19JCJQJC63100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中国国家重点研发计划（项目号：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2021YFA1201100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；美国国家卫生研究院（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）研究基金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R01CA233844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（授予杨生玉）；天津市研究生科研创新项目（项目号：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2022BKY162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2021YJSB262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）；天津市医学重点学科建设（专科）项目（项目号：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TJYXZDXK-009A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）；黑龙江省自然科学基金重点项目（项目号：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ZD2019H009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29235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85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79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经过DataTwin检测，本文的Fig1B和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Fig2E的流式细胞术数据存在两处重叠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Fig3D的两处β-actin蛋白条带完全一致，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Fig5G和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Fig7C的不同实验描述面板重叠，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FigS8C的两个不同标记面板重叠。此外，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Fig6F的一处WB印迹与一篇早期论文（10.1002/mgg3.1534）中不同标记的WB印迹高度相似。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6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7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61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92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09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13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https://pubs.acs.org/doi/10.1021/acs.jmedchem.4c02116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https://www.nature.com/articles/s41388-024-02938-0#Sec19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57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09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10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6.emf" /><Relationship Id="rId37" Type="http://schemas.openxmlformats.org/officeDocument/2006/relationships/image" Target="media/image17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2&amp;sn=cce9f8fed7fce517e754770d7cd26c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