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14:03:28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47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28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34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30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82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56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68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82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58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02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66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0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18&amp;idx=5&amp;sn=77c7846b32f1818fd5069574c436cf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