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聚焦学术诚信：南方医科大学南方医院检验科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09:13:30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141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2019年，主要来自南方医科大学南方医院检验科，莱斯特大学心血管科学系和莱斯特生物医学研究中心（NIHR）和汕头大学医学院的 Yan-Wei Hu  , Feng-Xia Guo , Yuan-Jun Xu , Pan Li , Zhi-Feng Lu , David G. McVey , Lei Zheng , Qian Wang , John H. Ye , Chun-Min Kang , Shao-Guo Wu , Jing-Jing Zhao , Xin Ma , Zhen Yang , Fu-Chun Fang , Yu-Rong Qiu , Bang-Ming Xu , Lei Xiao , Qian Wu , Li-Mei Wu , Li Ding, Tom R. Webb, Nilesh J. Samani, Shu Ye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Journal of clinical investigation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 noncoding RNA NEXN-AS1 mitigates atherosclerosis by regulating the actin-binding protein NEXN 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该研究得到了中国国家自然科学基金（项目编号：81871701、81572051、81500387 和 81370202）、广东省自然科学基金（项目编号：2017A030313535 和 2018A030313533）、广州市科技计划（项目编号：201607010267 和 201707010156）以及英国心脏基金会（项目编号：RG/16/13/32609 和 PG/16/9/31995）的支持。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5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24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9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98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https://www.pubpeer.org/publications/CBB0918980DA35BD5D44435DCC0F86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71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63&amp;idx=1&amp;sn=564f8375fbfd7b8de336b47b126b8c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