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3362"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1&amp;sn=cb2a1b56bacff2087203271d727ff8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