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18:32:52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259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38&amp;idx=1&amp;sn=d3bf13f4061200e9aa671e25800db9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