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上海市第九人民医院的论文被撤稿，主要原因是数据与早期文章重复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2025-04-08 11:13:03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长链非编码RNA（lncRNA）作为一类新的重要的效应分子，涉及乳腺癌、肺癌和口腔鳞状细胞癌等多种癌症类型，近年来引起了广泛关注。然而，诱导癌症中lncRNA失调的根本原因仍不清楚。</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2019 年 2 月 1 日，上海市</w:t>
      </w:r>
      <w:r>
        <w:rPr>
          <w:rStyle w:val="any"/>
          <w:rFonts w:ascii="Microsoft YaHei UI" w:eastAsia="Microsoft YaHei UI" w:hAnsi="Microsoft YaHei UI" w:cs="Microsoft YaHei UI"/>
          <w:b w:val="0"/>
          <w:bCs w:val="0"/>
          <w:i w:val="0"/>
          <w:iCs w:val="0"/>
          <w:caps w:val="0"/>
          <w:color w:val="222222"/>
          <w:spacing w:val="8"/>
          <w:sz w:val="23"/>
          <w:szCs w:val="23"/>
        </w:rPr>
        <w:t>第十人民医院的Chen Fubo 等人在</w:t>
      </w:r>
      <w:r>
        <w:rPr>
          <w:rStyle w:val="any"/>
          <w:rFonts w:ascii="Microsoft YaHei UI" w:eastAsia="Microsoft YaHei UI" w:hAnsi="Microsoft YaHei UI" w:cs="Microsoft YaHei UI"/>
          <w:b/>
          <w:bCs/>
          <w:i/>
          <w:iCs/>
          <w:caps w:val="0"/>
          <w:color w:val="222222"/>
          <w:spacing w:val="8"/>
          <w:sz w:val="23"/>
          <w:szCs w:val="23"/>
        </w:rPr>
        <w:t>International journal of oncology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lncRNA PLAC2 activated by H3K27 acetylation promotes cell proliferation and invasion via the activation of Wnt/β?catenin pathway in oral squamous cell carcinoma</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w:t>
      </w:r>
      <w:r>
        <w:rPr>
          <w:rStyle w:val="any"/>
          <w:rFonts w:ascii="Microsoft YaHei UI" w:eastAsia="Microsoft YaHei UI" w:hAnsi="Microsoft YaHei UI" w:cs="Microsoft YaHei UI"/>
          <w:b/>
          <w:bCs/>
          <w:i w:val="0"/>
          <w:iCs w:val="0"/>
          <w:caps w:val="0"/>
          <w:color w:val="222222"/>
          <w:spacing w:val="8"/>
          <w:sz w:val="23"/>
          <w:szCs w:val="23"/>
        </w:rPr>
        <w:t>lncRNA PLAC2 由 OSCC 启动子区的 H3K27ac 修饰转录激活，并通过激活 Wnt/β-catenin 信号通路促进细胞生长和转移。因此，PLAC2 可作为 OSCC 预后和治疗的有希望的生物标志物。</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31 日，该文章被撤回，</w:t>
      </w:r>
      <w:r>
        <w:rPr>
          <w:rStyle w:val="any"/>
          <w:rFonts w:ascii="Microsoft YaHei UI" w:eastAsia="Microsoft YaHei UI" w:hAnsi="Microsoft YaHei UI" w:cs="Microsoft YaHei UI"/>
          <w:b/>
          <w:bCs/>
          <w:i w:val="0"/>
          <w:iCs w:val="0"/>
          <w:caps w:val="0"/>
          <w:color w:val="222222"/>
          <w:spacing w:val="8"/>
          <w:sz w:val="23"/>
          <w:szCs w:val="23"/>
        </w:rPr>
        <w:t>主要原因是不同文章间涉嫌图像的重复使用。</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38237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15743" name=""/>
                    <pic:cNvPicPr>
                      <a:picLocks noChangeAspect="1"/>
                    </pic:cNvPicPr>
                  </pic:nvPicPr>
                  <pic:blipFill>
                    <a:blip xmlns:r="http://schemas.openxmlformats.org/officeDocument/2006/relationships" r:embed="rId6"/>
                    <a:stretch>
                      <a:fillRect/>
                    </a:stretch>
                  </pic:blipFill>
                  <pic:spPr>
                    <a:xfrm>
                      <a:off x="0" y="0"/>
                      <a:ext cx="6143625" cy="338237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这篇论文发表后，一位关心此事的读者向编辑提请注意，第 1189 页图 3C 和第 1190 页图 4E 中所示的某些免疫荧光测定数据与不同作者在不同研究机构撰写的另一对文章中以不同形式出现的数据惊人地相似，而这两篇文章在这篇论文提交给《国际肿瘤学杂志》之前已在其他地方发表。</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鉴于上述数据显然之前已经发表过，《国际肿瘤学杂志》的编辑决定从杂志上撤回这篇论文。</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在与作者联系后，作者接受了撤回论文的决定。编辑对由此给读者带来的不便深表歉意。</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https://www.spandidos-publications.com/10.3892/ijo.2025.5743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826&amp;idx=2&amp;sn=22562f003e39425cf0370dfcee3917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