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97744"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54888"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05188"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