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Shao Rongguang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（音译：邵容光）团队论文被质疑图像重复，背后有国家科学基金支持！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59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2015年11月10日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PMingLiU" w:eastAsia="PMingLiU" w:hAnsi="PMingLiU" w:cs="PMingLiU"/>
          <w:spacing w:val="8"/>
        </w:rPr>
        <w:t>（双拓扑异构酶抑制剂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通过增强链前和链后剪切，抑制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再连接，从而优先和特异地靶向拓扑异构酶</w:t>
      </w:r>
      <w:r>
        <w:rPr>
          <w:rStyle w:val="any"/>
          <w:rFonts w:ascii="Times New Roman" w:eastAsia="Times New Roman" w:hAnsi="Times New Roman" w:cs="Times New Roman"/>
          <w:spacing w:val="8"/>
        </w:rPr>
        <w:t>2 α</w:t>
      </w:r>
      <w:r>
        <w:rPr>
          <w:rStyle w:val="any"/>
          <w:rFonts w:ascii="PMingLiU" w:eastAsia="PMingLiU" w:hAnsi="PMingLiU" w:cs="PMingLiU"/>
          <w:spacing w:val="8"/>
        </w:rPr>
        <w:t>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10.18632/oncotarget.5680。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对该论文提出质疑，认为图像有多处重复。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06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拓扑异构酶在肿瘤增殖中起关键作用。靶向拓扑异构酶的化学治疗剂已被广泛用于临床肿瘤学，但耐药性和副作用，尤其是心脏毒性，通常会限制其应用。临床数据表明，拓扑异构酶（</w:t>
      </w:r>
      <w:r>
        <w:rPr>
          <w:rStyle w:val="any"/>
          <w:rFonts w:ascii="Times New Roman" w:eastAsia="Times New Roman" w:hAnsi="Times New Roman" w:cs="Times New Roman"/>
          <w:spacing w:val="8"/>
        </w:rPr>
        <w:t>TOP</w:t>
      </w:r>
      <w:r>
        <w:rPr>
          <w:rStyle w:val="any"/>
          <w:rFonts w:ascii="PMingLiU" w:eastAsia="PMingLiU" w:hAnsi="PMingLiU" w:cs="PMingLiU"/>
          <w:spacing w:val="8"/>
        </w:rPr>
        <w:t>）水平的降低是负责耐药性的主要因素，但是在细胞中，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的水平之间具有补偿性效果。在这里，我们验证了周期性的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绿绿蛋白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，该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是双顶抑制剂，优先针对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TOP2A</w:t>
      </w:r>
      <w:r>
        <w:rPr>
          <w:rStyle w:val="any"/>
          <w:rFonts w:ascii="PMingLiU" w:eastAsia="PMingLiU" w:hAnsi="PMingLiU" w:cs="PMingLiU"/>
          <w:spacing w:val="8"/>
        </w:rPr>
        <w:t>。对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催化循环的影响表明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可以插入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，但不会干扰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结合和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 ATPase</w:t>
      </w:r>
      <w:r>
        <w:rPr>
          <w:rStyle w:val="any"/>
          <w:rFonts w:ascii="PMingLiU" w:eastAsia="PMingLiU" w:hAnsi="PMingLiU" w:cs="PMingLiU"/>
          <w:spacing w:val="8"/>
        </w:rPr>
        <w:t>活性。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可以通过增强链前和链后裂解和抑制宗教来促进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DNA-TOP2α</w:t>
      </w:r>
      <w:r>
        <w:rPr>
          <w:rStyle w:val="any"/>
          <w:rFonts w:ascii="PMingLiU" w:eastAsia="PMingLiU" w:hAnsi="PMingLiU" w:cs="PMingLiU"/>
          <w:spacing w:val="8"/>
        </w:rPr>
        <w:t>裂解复合物的形成，这表明这种化合物可以是拓扑异构酶毒药，并具有其他拓扑异构酶抑制剂的区域机制。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TARDIS</w:t>
      </w:r>
      <w:r>
        <w:rPr>
          <w:rStyle w:val="any"/>
          <w:rFonts w:ascii="PMingLiU" w:eastAsia="PMingLiU" w:hAnsi="PMingLiU" w:cs="PMingLiU"/>
          <w:spacing w:val="8"/>
        </w:rPr>
        <w:t>和彗星测定法表明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可以诱导细胞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复合物，但对心脏毒性诱导剂</w:t>
      </w:r>
      <w:r>
        <w:rPr>
          <w:rStyle w:val="any"/>
          <w:rFonts w:ascii="Times New Roman" w:eastAsia="Times New Roman" w:hAnsi="Times New Roman" w:cs="Times New Roman"/>
          <w:spacing w:val="8"/>
        </w:rPr>
        <w:t>TOP2β</w:t>
      </w:r>
      <w:r>
        <w:rPr>
          <w:rStyle w:val="any"/>
          <w:rFonts w:ascii="PMingLiU" w:eastAsia="PMingLiU" w:hAnsi="PMingLiU" w:cs="PMingLiU"/>
          <w:spacing w:val="8"/>
        </w:rPr>
        <w:t>没有影响。沉默的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减少了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断裂。在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心脏细胞中进一步验证显示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不会干扰细胞增殖和线粒体膜效力。此外，裸鼠的测定进一步证明了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不会损害心脏。我们的工作将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鉴定为一种新型骨骼化合物双重抑制拓扑异构酶，并且主要且主要针对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，通过干扰所有切割步骤，并且没有心脏细胞和小鼠的心脏验证其无心脏毒性。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可能是一种新颖有效的靶向拓扑异构酶剂。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9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61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国家科学基金[81102464，81321004]；国家创新药物重大项目[2014 zx 09201042]；IMB基金。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Shao Rongguang，疑为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中国医学科学院北京协和医学院医药生物技术研究所医师。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4&amp;sn=6441870dce332111369c7166843a2e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