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图像重叠？四川大学华西医院华西康复医学院副院长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Yun Qu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团队论文被质疑，背后有国青基金支持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14:45:07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3718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844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近日，在</w:t>
      </w:r>
      <w:r>
        <w:rPr>
          <w:rStyle w:val="any"/>
          <w:rFonts w:ascii="微软雅黑" w:eastAsia="微软雅黑" w:hAnsi="微软雅黑" w:cs="微软雅黑"/>
          <w:spacing w:val="8"/>
        </w:rPr>
        <w:t>Pupbeer网站上，国际知名学术打假人</w:t>
      </w:r>
      <w:r>
        <w:rPr>
          <w:rStyle w:val="any"/>
          <w:rFonts w:ascii="微软雅黑" w:eastAsia="微软雅黑" w:hAnsi="微软雅黑" w:cs="微软雅黑"/>
          <w:spacing w:val="8"/>
        </w:rPr>
        <w:t>René Aquarius针对论文：</w:t>
      </w:r>
      <w:r>
        <w:rPr>
          <w:rStyle w:val="any"/>
          <w:rFonts w:ascii="微软雅黑" w:eastAsia="微软雅黑" w:hAnsi="微软雅黑" w:cs="微软雅黑"/>
          <w:spacing w:val="8"/>
        </w:rPr>
        <w:t>Non-invasive remote ischemic postconditioning stimulates neurogenesis during the recovery phase after cerebral ischemia（</w:t>
      </w:r>
      <w:r>
        <w:rPr>
          <w:rStyle w:val="any"/>
          <w:rFonts w:ascii="微软雅黑" w:eastAsia="微软雅黑" w:hAnsi="微软雅黑" w:cs="微软雅黑"/>
          <w:spacing w:val="8"/>
        </w:rPr>
        <w:t>非侵入性远程缺血后处理刺激脑缺血后恢复期的神经发生）提出质疑，论文通讯作者：</w:t>
      </w:r>
      <w:r>
        <w:rPr>
          <w:rStyle w:val="any"/>
          <w:rFonts w:ascii="微软雅黑" w:eastAsia="微软雅黑" w:hAnsi="微软雅黑" w:cs="微软雅黑"/>
          <w:spacing w:val="8"/>
        </w:rPr>
        <w:t>Yun Qu，疑为</w:t>
      </w:r>
      <w:r>
        <w:rPr>
          <w:rStyle w:val="any"/>
          <w:rFonts w:ascii="微软雅黑" w:eastAsia="微软雅黑" w:hAnsi="微软雅黑" w:cs="微软雅黑"/>
          <w:spacing w:val="8"/>
        </w:rPr>
        <w:t>四川大学华西医院康复医学中心副主任，华西康复医学院副院长。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52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8491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FF2941"/>
          <w:spacing w:val="8"/>
          <w:sz w:val="27"/>
          <w:szCs w:val="27"/>
        </w:rPr>
        <w:t>论文信息：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作者：</w:t>
      </w:r>
      <w:r>
        <w:rPr>
          <w:rStyle w:val="any"/>
          <w:rFonts w:ascii="微软雅黑" w:eastAsia="微软雅黑" w:hAnsi="微软雅黑" w:cs="微软雅黑"/>
          <w:spacing w:val="8"/>
        </w:rPr>
        <w:t> </w:t>
      </w:r>
      <w:r>
        <w:rPr>
          <w:rStyle w:val="any"/>
          <w:rFonts w:ascii="微软雅黑" w:eastAsia="微软雅黑" w:hAnsi="微软雅黑" w:cs="微软雅黑"/>
          <w:spacing w:val="8"/>
        </w:rPr>
        <w:t>Huang Dan; Liu Honghong; Qu Yun; Wang Pu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机构：</w:t>
      </w:r>
      <w:r>
        <w:rPr>
          <w:rStyle w:val="any"/>
          <w:rFonts w:ascii="微软雅黑" w:eastAsia="微软雅黑" w:hAnsi="微软雅黑" w:cs="微软雅黑"/>
          <w:spacing w:val="8"/>
        </w:rPr>
        <w:t> </w:t>
      </w:r>
      <w:r>
        <w:rPr>
          <w:rStyle w:val="any"/>
          <w:rFonts w:ascii="微软雅黑" w:eastAsia="微软雅黑" w:hAnsi="微软雅黑" w:cs="微软雅黑"/>
          <w:spacing w:val="8"/>
        </w:rPr>
        <w:t>[1] 四川大学华西医院康复科   [2] 重庆医科大学康复科，永川医院，[3] 中国上海交通大学附属瑞金医院康复医学科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摘要：</w:t>
      </w:r>
      <w:r>
        <w:rPr>
          <w:rStyle w:val="any"/>
          <w:rFonts w:ascii="微软雅黑" w:eastAsia="微软雅黑" w:hAnsi="微软雅黑" w:cs="微软雅黑"/>
          <w:spacing w:val="8"/>
        </w:rPr>
        <w:t> </w:t>
      </w:r>
      <w:r>
        <w:rPr>
          <w:rStyle w:val="any"/>
          <w:rFonts w:ascii="微软雅黑" w:eastAsia="微软雅黑" w:hAnsi="微软雅黑" w:cs="微软雅黑"/>
          <w:spacing w:val="8"/>
        </w:rPr>
        <w:t>据报道，缺血性后调节后（IPOSTC）对缺血性疾病具有神经保护作用，而在附近治疗时，IPOSTC的一个周期会诱导神经发生。为了扩大这些影响，我们探讨了中风恢复期间重复远程IPOSTC（NRIPOSTC）（NRIPOSTC）对下粒区（SGZ）和下脑区（SGZ）（SGZ）神经发生的影响。再灌注后立即用媒介物或NRIPOSTC治疗瞬时脑缺血的动物。在3D，7d，14d，21d和28d后缺血后，对Nestin和GFAP的神经严重程度评分，梗死大小，神经发生以及蛋白质表达水平进行了定量。结果表明，在恢复阶段，NRIPOSTC显著降低了急性梗塞并改善了神经系统结局。同时，NripoStC分别在第14天和第3、7和14天分别在SGZ和SVZ中显著增加了Brdu（+）/Nestin（+）细胞的数量，DCX+细胞的数量从第3天到14天。BRDU（+）/neun（+）/neun（+）和Brdu（+）和brdu（+）/gff z concountion（+）/gff z ins ssv incl ins s s s in sive ins ssv inss/s s s s ssv ins in sive（+）sive（+）sive siv ins ssv inss/s.DG中Nestin和GFAP蛋白表达的趋势与上述结果一致。总之，NRIPOSTC降低了急性梗塞，并提高了功能结果，最高为28D，并且在SGZ和SVZ中诱导了神经发生。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来源：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施普林格</w:t>
      </w:r>
      <w:r>
        <w:rPr>
          <w:rStyle w:val="any"/>
          <w:rFonts w:ascii="Times New Roman" w:eastAsia="Times New Roman" w:hAnsi="Times New Roman" w:cs="Times New Roman"/>
          <w:spacing w:val="8"/>
        </w:rPr>
        <w:t>·</w:t>
      </w:r>
      <w:r>
        <w:rPr>
          <w:rStyle w:val="any"/>
          <w:rFonts w:ascii="PMingLiU" w:eastAsia="PMingLiU" w:hAnsi="PMingLiU" w:cs="PMingLiU"/>
          <w:spacing w:val="8"/>
        </w:rPr>
        <w:t>自然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期刊、</w:t>
      </w:r>
      <w:r>
        <w:rPr>
          <w:rStyle w:val="any"/>
          <w:rFonts w:ascii="Times New Roman" w:eastAsia="Times New Roman" w:hAnsi="Times New Roman" w:cs="Times New Roman"/>
          <w:spacing w:val="8"/>
        </w:rPr>
        <w:t>PubMed</w:t>
      </w:r>
      <w:r>
        <w:rPr>
          <w:rStyle w:val="any"/>
          <w:rFonts w:ascii="PMingLiU" w:eastAsia="PMingLiU" w:hAnsi="PMingLiU" w:cs="PMingLiU"/>
          <w:spacing w:val="8"/>
        </w:rPr>
        <w:t>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发布日期：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13</w:t>
      </w:r>
      <w:r>
        <w:rPr>
          <w:rStyle w:val="any"/>
          <w:rFonts w:ascii="PMingLiU" w:eastAsia="PMingLiU" w:hAnsi="PMingLiU" w:cs="PMingLiU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基金支持</w:t>
      </w:r>
      <w:r>
        <w:rPr>
          <w:rStyle w:val="any"/>
          <w:rFonts w:ascii="微软雅黑" w:eastAsia="微软雅黑" w:hAnsi="微软雅黑" w:cs="微软雅黑"/>
          <w:b/>
          <w:bCs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国家青年科学基金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[81401858]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DOI：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10.1007/s11011-017-0068-3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FF2941"/>
          <w:spacing w:val="8"/>
          <w:sz w:val="27"/>
          <w:szCs w:val="27"/>
        </w:rPr>
        <w:t>质疑信息：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René Aquarius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我们在您的一幅图中发现了意外的重叠</w:t>
      </w:r>
      <w:r>
        <w:rPr>
          <w:rStyle w:val="any"/>
          <w:rFonts w:ascii="Times New Roman" w:eastAsia="Times New Roman" w:hAnsi="Times New Roman" w:cs="Times New Roman"/>
          <w:spacing w:val="8"/>
        </w:rPr>
        <w:t>(</w:t>
      </w:r>
      <w:r>
        <w:rPr>
          <w:rStyle w:val="any"/>
          <w:rFonts w:ascii="PMingLiU" w:eastAsia="PMingLiU" w:hAnsi="PMingLiU" w:cs="PMingLiU"/>
          <w:spacing w:val="8"/>
        </w:rPr>
        <w:t>见下图</w:t>
      </w:r>
      <w:r>
        <w:rPr>
          <w:rStyle w:val="any"/>
          <w:rFonts w:ascii="Times New Roman" w:eastAsia="Times New Roman" w:hAnsi="Times New Roman" w:cs="Times New Roman"/>
          <w:spacing w:val="8"/>
        </w:rPr>
        <w:t>)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6772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8521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0182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982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888888"/>
          <w:spacing w:val="8"/>
          <w:sz w:val="21"/>
          <w:szCs w:val="21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https://pubpeer.com/publications/5D44C6DDB999D2997725DAE5FAA1B3#0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https://link.springer.com/article/10.1007/s11011-017-0068-3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  <w:sz w:val="21"/>
          <w:szCs w:val="21"/>
        </w:rPr>
        <w:t>声明：</w:t>
      </w:r>
      <w:r>
        <w:rPr>
          <w:rStyle w:val="any"/>
          <w:rFonts w:ascii="微软雅黑" w:eastAsia="微软雅黑" w:hAnsi="微软雅黑" w:cs="微软雅黑"/>
          <w:spacing w:val="8"/>
          <w:sz w:val="21"/>
          <w:szCs w:val="21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229&amp;idx=4&amp;sn=b63cd32cde273c4fb16962c86eeac47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