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尴尬了！武汉大学人民医院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 Shanshan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杰青团队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子刊论文被质疑，面对追问，无法自圆其说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22:22:17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99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837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近日，在</w:t>
      </w:r>
      <w:r>
        <w:rPr>
          <w:rStyle w:val="any"/>
          <w:rFonts w:ascii="微软雅黑" w:eastAsia="微软雅黑" w:hAnsi="微软雅黑" w:cs="微软雅黑"/>
          <w:spacing w:val="8"/>
        </w:rPr>
        <w:t>Pupbeer网站上，国际知名学术打假人</w:t>
      </w:r>
      <w:r>
        <w:rPr>
          <w:rStyle w:val="any"/>
          <w:rFonts w:ascii="微软雅黑" w:eastAsia="微软雅黑" w:hAnsi="微软雅黑" w:cs="微软雅黑"/>
          <w:spacing w:val="8"/>
        </w:rPr>
        <w:t>Cellulomonas phragmiteti针对论文：</w:t>
      </w:r>
      <w:r>
        <w:rPr>
          <w:rStyle w:val="any"/>
          <w:rFonts w:ascii="微软雅黑" w:eastAsia="微软雅黑" w:hAnsi="微软雅黑" w:cs="微软雅黑"/>
          <w:spacing w:val="8"/>
        </w:rPr>
        <w:t>Phosphoglycerate dehydrogenase activates PKM2 to phosphorylate histone H3T11 and attenuate cellular senescence（</w:t>
      </w:r>
      <w:r>
        <w:rPr>
          <w:rStyle w:val="any"/>
          <w:rFonts w:ascii="微软雅黑" w:eastAsia="微软雅黑" w:hAnsi="微软雅黑" w:cs="微软雅黑"/>
          <w:spacing w:val="8"/>
        </w:rPr>
        <w:t>磷酸甘油酸脱氢酶激活PKM2使组蛋白H3T11磷酸化,减弱细胞衰老）提出质疑，论文通讯作者之一：</w:t>
      </w:r>
      <w:r>
        <w:rPr>
          <w:rStyle w:val="any"/>
          <w:rFonts w:ascii="微软雅黑" w:eastAsia="微软雅黑" w:hAnsi="微软雅黑" w:cs="微软雅黑"/>
          <w:spacing w:val="8"/>
        </w:rPr>
        <w:t>Li Shanshan，疑为</w:t>
      </w:r>
      <w:r>
        <w:rPr>
          <w:rStyle w:val="any"/>
          <w:rFonts w:ascii="微软雅黑" w:eastAsia="微软雅黑" w:hAnsi="微软雅黑" w:cs="微软雅黑"/>
          <w:spacing w:val="8"/>
        </w:rPr>
        <w:t>武汉大学杰青。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00130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283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0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论文信息：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作者： </w:t>
      </w:r>
      <w:r>
        <w:rPr>
          <w:rStyle w:val="any"/>
          <w:rFonts w:ascii="微软雅黑" w:eastAsia="微软雅黑" w:hAnsi="微软雅黑" w:cs="微软雅黑"/>
          <w:b w:val="0"/>
          <w:bCs w:val="0"/>
          <w:spacing w:val="8"/>
        </w:rPr>
        <w:t>Yinsheng Wu, Lixu Tang, Han Huang, Qi Yu, Bicheng Hu, Gang Wang, Feng Ge, Tailang Yin</w:t>
      </w:r>
      <w:r>
        <w:rPr>
          <w:rStyle w:val="any"/>
          <w:rFonts w:ascii="微软雅黑" w:eastAsia="微软雅黑" w:hAnsi="微软雅黑" w:cs="微软雅黑"/>
          <w:b w:val="0"/>
          <w:bCs w:val="0"/>
          <w:spacing w:val="8"/>
        </w:rPr>
        <w:t>（</w:t>
      </w:r>
      <w:r>
        <w:rPr>
          <w:rStyle w:val="any"/>
          <w:rFonts w:ascii="微软雅黑" w:eastAsia="微软雅黑" w:hAnsi="微软雅黑" w:cs="微软雅黑"/>
          <w:b w:val="0"/>
          <w:bCs w:val="0"/>
          <w:spacing w:val="8"/>
        </w:rPr>
        <w:t>通讯作者）  Shanshan Li </w:t>
      </w:r>
      <w:r>
        <w:rPr>
          <w:rStyle w:val="any"/>
          <w:rFonts w:ascii="微软雅黑" w:eastAsia="微软雅黑" w:hAnsi="微软雅黑" w:cs="微软雅黑"/>
          <w:b w:val="0"/>
          <w:bCs w:val="0"/>
          <w:spacing w:val="8"/>
        </w:rPr>
        <w:t>（</w:t>
      </w:r>
      <w:r>
        <w:rPr>
          <w:rStyle w:val="any"/>
          <w:rFonts w:ascii="微软雅黑" w:eastAsia="微软雅黑" w:hAnsi="微软雅黑" w:cs="微软雅黑"/>
          <w:b w:val="0"/>
          <w:bCs w:val="0"/>
          <w:spacing w:val="8"/>
        </w:rPr>
        <w:t>通讯作者） Xilan Yu（</w:t>
      </w:r>
      <w:r>
        <w:rPr>
          <w:rStyle w:val="any"/>
          <w:rFonts w:ascii="微软雅黑" w:eastAsia="微软雅黑" w:hAnsi="微软雅黑" w:cs="微软雅黑"/>
          <w:b w:val="0"/>
          <w:bCs w:val="0"/>
          <w:spacing w:val="8"/>
        </w:rPr>
        <w:t>通讯作者）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机构：</w:t>
      </w:r>
      <w:r>
        <w:rPr>
          <w:rStyle w:val="any"/>
          <w:rFonts w:ascii="微软雅黑" w:eastAsia="微软雅黑" w:hAnsi="微软雅黑" w:cs="微软雅黑"/>
          <w:spacing w:val="8"/>
        </w:rPr>
        <w:t> </w:t>
      </w:r>
      <w:r>
        <w:rPr>
          <w:rStyle w:val="any"/>
          <w:rFonts w:ascii="微软雅黑" w:eastAsia="微软雅黑" w:hAnsi="微软雅黑" w:cs="微软雅黑"/>
          <w:spacing w:val="8"/>
        </w:rPr>
        <w:t>[1]湖北大学生命科学学院生物催化与酶工程国家重点实验室，  [2] 武汉体育大学武术学院   [3] 中华人民共和国湖北省武汉市第一医院中心实验室， [4] 中国科学院水生生物研究所藻类生物重点实验室， [5] 武汉大学人民医院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摘要：</w:t>
      </w:r>
      <w:r>
        <w:rPr>
          <w:rStyle w:val="any"/>
          <w:rFonts w:ascii="微软雅黑" w:eastAsia="微软雅黑" w:hAnsi="微软雅黑" w:cs="微软雅黑"/>
          <w:spacing w:val="8"/>
        </w:rPr>
        <w:t> </w:t>
      </w:r>
      <w:r>
        <w:rPr>
          <w:rStyle w:val="any"/>
          <w:rFonts w:ascii="微软雅黑" w:eastAsia="微软雅黑" w:hAnsi="微软雅黑" w:cs="微软雅黑"/>
          <w:spacing w:val="8"/>
        </w:rPr>
        <w:t>关于糖酵解在细胞衰老中的作用知之甚少。在这里，作者报告说，糖酵解衍生的丝氨酸生物合成激活PKM2以磷酸化组蛋白H3T11，预防细胞衰老并促进健康的衰老。血管内皮细胞（ECS）衰老与衰老人群中心血管疾病的增加有关。尽管EC依靠糖酵解来产生能源，但对糖酵解在ECS衰老中的作用知之甚少。在这里，我们报告了糖酵解衍生的丝氨酸生物合成在预防ECS衰老中的关键作用。在衰老过程中，由于激活转录因子ATF4的转录减少，丝氨酸生物合成酶的表达显著降低，这导致细胞内丝氨酸的降低。PHGDH主要通过增强丙酮酸激酶M2（PKM2）的稳定性和活性来防止过早衰老。从机械上讲，PHGDH与PKM2相互作用，可防止PCAF催化的PKM2 K305乙酰化，并随后通过自噬降解。此外，PHGDH促进了P300催化的PKM2 K433乙酰化，从而促进PKM2核易位并刺激其活性磷酸化H3T11并调节衰老相关基因的转录。PHGDH和PKM2的血管内皮靶向表达可改善小鼠的衰老。我们的发现表明，增强丝氨酸的生物合成可能成为促进健康衰老的一种疗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来源：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NATURE COMMUNICATIONS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发布日期：</w:t>
      </w:r>
      <w:r>
        <w:rPr>
          <w:rStyle w:val="any"/>
          <w:rFonts w:ascii="Times New Roman" w:eastAsia="Times New Roman" w:hAnsi="Times New Roman" w:cs="Times New Roman"/>
          <w:spacing w:val="8"/>
        </w:rPr>
        <w:t> 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DOI：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10.1038/s41467-023-37094-8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质疑信息：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000000"/>
          <w:spacing w:val="8"/>
        </w:rPr>
        <w:t>Cellulomonas phragmiteti：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color w:val="000000"/>
          <w:spacing w:val="8"/>
        </w:rPr>
        <w:t>源数据图7k附在下面(颜色改变)。一些小鼠具有完全相同的左心室射血分数值(left%).例如，三只小鼠的射血分数为88.88889。还有，很多老鼠的射血分数小数点是33333。的源数据图7j附在下面(颜色改变)。一些重复在不同的乙酰胆碱浓度下显示相同的松弛百分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3051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629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4177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722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5501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47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5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1836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912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 Shanshan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非常感谢大家的评论。我们仔细检查了原始数据，并检查了我们是如何处理这些数据的。我们的结论是，这些数据是正确的，没有问题。对于图</w:t>
      </w:r>
      <w:r>
        <w:rPr>
          <w:rStyle w:val="any"/>
          <w:rFonts w:ascii="Times New Roman" w:eastAsia="Times New Roman" w:hAnsi="Times New Roman" w:cs="Times New Roman"/>
          <w:spacing w:val="8"/>
        </w:rPr>
        <w:t>7k</w:t>
      </w:r>
      <w:r>
        <w:rPr>
          <w:rStyle w:val="any"/>
          <w:rFonts w:ascii="PMingLiU" w:eastAsia="PMingLiU" w:hAnsi="PMingLiU" w:cs="PMingLiU"/>
          <w:spacing w:val="8"/>
        </w:rPr>
        <w:t>，从机器输出的非常原始的数据是不同的，但是当我们使用公式来计算比率时，它导致一些百分比值是相同的。对于图</w:t>
      </w:r>
      <w:r>
        <w:rPr>
          <w:rStyle w:val="any"/>
          <w:rFonts w:ascii="Times New Roman" w:eastAsia="Times New Roman" w:hAnsi="Times New Roman" w:cs="Times New Roman"/>
          <w:spacing w:val="8"/>
        </w:rPr>
        <w:t>7j</w:t>
      </w:r>
      <w:r>
        <w:rPr>
          <w:rStyle w:val="any"/>
          <w:rFonts w:ascii="PMingLiU" w:eastAsia="PMingLiU" w:hAnsi="PMingLiU" w:cs="PMingLiU"/>
          <w:spacing w:val="8"/>
        </w:rPr>
        <w:t>，两个封闭的乙酰胆碱浓度之间的一些值是相同的，因为一些主动脉对体外乙酰胆碱浓度的微小变化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即从</w:t>
      </w:r>
      <w:r>
        <w:rPr>
          <w:rStyle w:val="any"/>
          <w:rFonts w:ascii="Times New Roman" w:eastAsia="Times New Roman" w:hAnsi="Times New Roman" w:cs="Times New Roman"/>
          <w:spacing w:val="8"/>
        </w:rPr>
        <w:t>10^(-8)M</w:t>
      </w:r>
      <w:r>
        <w:rPr>
          <w:rStyle w:val="any"/>
          <w:rFonts w:ascii="PMingLiU" w:eastAsia="PMingLiU" w:hAnsi="PMingLiU" w:cs="PMingLiU"/>
          <w:spacing w:val="8"/>
        </w:rPr>
        <w:t>到</w:t>
      </w:r>
      <w:r>
        <w:rPr>
          <w:rStyle w:val="any"/>
          <w:rFonts w:ascii="Times New Roman" w:eastAsia="Times New Roman" w:hAnsi="Times New Roman" w:cs="Times New Roman"/>
          <w:spacing w:val="8"/>
        </w:rPr>
        <w:t>10^(-7.5)M)</w:t>
      </w:r>
      <w:r>
        <w:rPr>
          <w:rStyle w:val="any"/>
          <w:rFonts w:ascii="PMingLiU" w:eastAsia="PMingLiU" w:hAnsi="PMingLiU" w:cs="PMingLiU"/>
          <w:spacing w:val="8"/>
        </w:rPr>
        <w:t>不敏感。再次感谢您的关注！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000000"/>
          <w:spacing w:val="8"/>
        </w:rPr>
        <w:t>Cellulomonas phragmiteti：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color w:val="000000"/>
          <w:spacing w:val="8"/>
        </w:rPr>
        <w:t>对于图7k，使用什么公式来获得不同的原始数据值88.88889？对于图7j，你是怎么得到的完全一样不同乙酰胆碱浓度的值。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https://pubpeer.com/publications/55F2DB3FA34053D5DA7B0EA75DDF09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https://pubmed.ncbi.nlm.nih.gov/36899022/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169&amp;idx=4&amp;sn=e08afa36f0921aefa39d851f65861f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