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图像高度相似以及与另篇文章图像重复！河南科技大学第一附属医院论文遭质疑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"miR-218 suppresses cardiac myxoma proliferation by targeting myocyte enhancer factor 2D“miR-218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通过靶向肌细胞增强因子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抑制心脏粘液瘤增殖（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10.3892/or.2015.3861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与其他论文存在图片相似等问题。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河南科技大学第一附属医院心脏外科；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河南科技大学第一附属医院心内科的作者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QUANXING CAO , PINGSHUAN DONG , YANYU WANG , JUNWEI ZHANG , XINGE SHI , YONGSHENG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PINGSHUAN DON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（河南科技大学第一附属医院心内科）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1334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4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siRNA </w:t>
      </w:r>
      <w:r>
        <w:rPr>
          <w:rStyle w:val="any"/>
          <w:rFonts w:ascii="PMingLiU" w:eastAsia="PMingLiU" w:hAnsi="PMingLiU" w:cs="PMingLiU"/>
          <w:spacing w:val="8"/>
        </w:rPr>
        <w:t>或对照（</w:t>
      </w:r>
      <w:r>
        <w:rPr>
          <w:rStyle w:val="any"/>
          <w:rFonts w:ascii="Times New Roman" w:eastAsia="Times New Roman" w:hAnsi="Times New Roman" w:cs="Times New Roman"/>
          <w:spacing w:val="8"/>
        </w:rPr>
        <w:t>50 nM</w:t>
      </w:r>
      <w:r>
        <w:rPr>
          <w:rStyle w:val="any"/>
          <w:rFonts w:ascii="PMingLiU" w:eastAsia="PMingLiU" w:hAnsi="PMingLiU" w:cs="PMingLiU"/>
          <w:spacing w:val="8"/>
        </w:rPr>
        <w:t>）转染心脏粘液瘤细胞。二十四小时后，通过免疫印迹分析确定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MEF2C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341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9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比较：图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取自</w:t>
      </w:r>
      <w:r>
        <w:rPr>
          <w:rStyle w:val="any"/>
          <w:rFonts w:ascii="Times New Roman" w:eastAsia="Times New Roman" w:hAnsi="Times New Roman" w:cs="Times New Roman"/>
          <w:spacing w:val="8"/>
        </w:rPr>
        <w:t>Zhao, Liu &amp; Li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“A549 </w:t>
      </w:r>
      <w:r>
        <w:rPr>
          <w:rStyle w:val="any"/>
          <w:rFonts w:ascii="PMingLiU" w:eastAsia="PMingLiU" w:hAnsi="PMingLiU" w:cs="PMingLiU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，或用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39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9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该线索链接到其他表现形式。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3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7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972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5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https://pubmed.ncbi.nlm.nih.gov/25812649/#full-view-affiliation-2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https://pubpeer.com/publications/0F9F4478DEF82FA0932860AB4D5C9E#0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科技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河南科技大学第一附属医院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3250783290979123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49&amp;idx=1&amp;sn=7c2ead45423d07dcfe160c36f8d4346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