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条带重复，科研严谨性成焦点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2023年9月，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兰州大学第一医院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Bioengineered（IF4.1998/4区）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发表不到2年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后，因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“Exosomes derived from bone marrow mesenchymal stem cells regulate pyroptosis via the miR-143-3p/myeloid differentiation factor 88 axis to ameliorate intestinal ischemia-reperfusion injury”。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第一作者：兰州大学第一医院的Zhanhai Wan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通讯作者：兰州大学第一医院的Yufang Leng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国家自然科学基金资助项目（81960345），甘肃省自然科学基金项目（21JR11RA097），兰州大学第一医院基金（2020- 2018）。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39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21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754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6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099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69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https://pubpeer.com/publications/C56F3529F7DEB4B0496952CDCE25B7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84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05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805&amp;idx=1&amp;sn=b8e2edcfc9d9efd21cbc44e92bcad1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