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厦大附属中山医院论文因图片重复，在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09:14:00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2022年4月，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厦门大学附属中山医院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Bioengineered（IF4.2 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“MicroRNA-18 facilitates the stemness of gastric cancer by downregulating HMGB3 though targeting Meis2”。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第一作者：厦门大学附属中山医院的Yingjun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通讯作者：厦门大学附属中山医院的Zhenfa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308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019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391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18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334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648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https://pubpeer.com/publications/0CE17972E87B8FF87DBE366888B0EE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06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897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768&amp;idx=1&amp;sn=5a1682f7b2e89372cc7ad98df892bb8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