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重磅！北京大学药学院长聘教授论文被重点关注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2015 Nov 3;6(34):36625-42.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10.18632/oncotarget.5382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Ponapea palauensis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36073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397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36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https://pubmed.ncbi.nlm.nih.gov/26429872/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253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4463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吕万良，现任北京大学药学院长聘教授、博士生导师；药学院党委副书记、分子药剂学与释药系统北京市重点实验室副主任、天然药物及仿生药物国家重点实验室课题组长。学术兼任中国药学会药剂专业委员会副主任委员、中国颗粒学会常务理事、国际控释协会中国分会主席、北京大学学报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(</w:t>
      </w:r>
      <w:r>
        <w:rPr>
          <w:rStyle w:val="any"/>
          <w:rFonts w:ascii="PMingLiU" w:eastAsia="PMingLiU" w:hAnsi="PMingLiU" w:cs="PMingLiU"/>
          <w:spacing w:val="8"/>
        </w:rPr>
        <w:t>医学版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Nanomaterials</w:t>
      </w:r>
      <w:r>
        <w:rPr>
          <w:rStyle w:val="any"/>
          <w:rFonts w:ascii="PMingLiU" w:eastAsia="PMingLiU" w:hAnsi="PMingLiU" w:cs="PMingLiU"/>
          <w:spacing w:val="8"/>
        </w:rPr>
        <w:t>等期刊编委。研究方向为耐药肿瘤和肿瘤干细胞与生物药剂学。发表论文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170</w:t>
      </w:r>
      <w:r>
        <w:rPr>
          <w:rStyle w:val="any"/>
          <w:rFonts w:ascii="PMingLiU" w:eastAsia="PMingLiU" w:hAnsi="PMingLiU" w:cs="PMingLiU"/>
          <w:spacing w:val="8"/>
        </w:rPr>
        <w:t>余篇，获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年度教育部自然科学一等奖、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年度教育部自然科学二等奖等奖项。负责和参与的新药研究有近二十项，获新药证书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项、新药临床研究批件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项，授权发明专利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项，主编专著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部、参编全国统编教材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https://pubpeer.com/publications/87F8391CEFE332B6524CA1729971E4#0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19&amp;idx=1&amp;sn=93d02130ef1e441e55bc7128d87f8ea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