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尴尬，国家科技进步二等奖第一完成人论文被关注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Feb 1;7(2):260-274.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中的两个试验在旋转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687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24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中的两个图像似乎是相同的。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17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72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https://pubmed.ncbi.nlm.nih.gov/28337375/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386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58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孙保存，天津医科大学病理教研室主任，教授、博士生导师，南开大学医学院教授。担任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病理学与病理生理学重点学科带头人，教育部肿瘤防治重点实验室学术委员会副主任，天津市病理质控中心主任，兼任国务院学位委员会学科评议组成员、国务院特殊津贴专家、中华医学会肿瘤学会常委及病理学会常委、中国抗癌学会理事及病理专业委员会副主任委员、中国病理学工作者委员会副主任委员、中华医学科技奖评审专家、《中国肿瘤临床》杂志常务副主编、《中华病理学杂志》《诊断病理学》《天津医药》等杂志编委、天津市政府学位委员会学科评议组成员、天津医学会理事，曾任民盟中央委员、全国政协委员。曾获天津市级优秀教师，天津市十五立功先进个人，天津市劳动模范和天津市教学名师等称号。曾作为高访学者赴加拿大多伦多大学进行科研合作及学术交流。多年从事肿瘤病理学和分子生物学研究。主持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项、教育部博士点基金、省市级重大、重点及面上课题等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项，获资助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1400</w:t>
      </w:r>
      <w:r>
        <w:rPr>
          <w:rStyle w:val="any"/>
          <w:rFonts w:ascii="PMingLiU" w:eastAsia="PMingLiU" w:hAnsi="PMingLiU" w:cs="PMingLiU"/>
          <w:spacing w:val="8"/>
        </w:rPr>
        <w:t>余万元，近年来发表论文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58</w:t>
      </w:r>
      <w:r>
        <w:rPr>
          <w:rStyle w:val="any"/>
          <w:rFonts w:ascii="PMingLiU" w:eastAsia="PMingLiU" w:hAnsi="PMingLiU" w:cs="PMingLiU"/>
          <w:spacing w:val="8"/>
        </w:rPr>
        <w:t>篇，主编教材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部，获国家级及省、部级科技奖和自然奖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项、天津市自然科学三等奖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项及天津市科技进步三等奖多项。独立指导博硕士研究生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https://pubpeer.com/publications/8EAC5A424D16DA37BB53AA3E09CC05#0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3&amp;sn=655367927e84d32aaca507e3fa1f2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