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不同机构（分布山东各市）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篇论文数据存在重叠，涉潍坊医学院附属医院、山大齐鲁医院、临沂市人民、济宁医学院附属医院、青岛市中心医院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13:22:42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mechanism of miR-143 inducing apoptosis of liver carcinoma cells through regulation of the NF-κB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潍坊医学院附属医院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发表时间：2018年4月13日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10.3892/ol.2018.8486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359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92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Protects Osteoblasts Against Dexamethasone-Induced Cytotoxicity Through Activation of AMP-Activated Protein Kinase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期刊：Drug Design, Development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山东大学齐鲁医院&amp;临沂市人民医院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10.2147/DDDT.S266502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73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66667" cy="29333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10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Correlation of nm 23 expression with pharyngeal cancer and patient prognoses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济宁医学院附属医院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发表时间：2018年8月31日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10.3892/ol.2018.9375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4340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91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interventional embolotherapy on FHIT and p16 expression in hepatocellular carcinoma patients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青岛市中心医院（青岛市肿瘤医院）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10.3892/ol.2018.9648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05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82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61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印迹重复，且标注为不同物质。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3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78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印迹重复，且标注为不同物质。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84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https://pubpeer.com/publications/C16103535656D9FD921659B9DD5DE1#2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https://pubpeer.com/publications/438100E7087A891E84E5C05D643608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https://pubpeer.com/publications/0D0F12A6888B307D0E6568C6452C55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https://pubpeer.com/publications/F0F0569320AA144D53689ED08B38F7#1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74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7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80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57&amp;idx=2&amp;sn=fe36eacf55b77b8e261136173c42b6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