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!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武汉大学同仁医院的论文图像存在多处重叠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12:40:36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9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13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44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2019年5月3日，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武汉大学同仁医院（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武汉市第三医院）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Prion(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IF=1.9)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Enrichment of miR-126 enhances the effects of endothelial progenitor cell-derived microvesicles on modulating MC3T3-E1 cell function via Erk1/2-Bcl-2 signalling pathway"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富集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miR-126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可增强内皮祖细胞衍生的微囊通过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Erk1/2-Bcl-2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信号通路调节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MC3T3-E1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细胞功能的作用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Guanghua Chen,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Peng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Hao Lin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林颢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武汉大学同仁医院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Zhanghua Li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李章华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81570260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81600698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）以及中国广东省自然科学基金（编号：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030313833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61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5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1160"/>
            <wp:docPr id="100005" name="" descr="暨南大学值得一去吗？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87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【高质量发展】历史性突破！广东医科大学附属医院肾病内科获批国家临床重点专科建设项目！-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50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7" name="" descr="武汉大学附属同仁医院光谷院区-智慧病房案例-Chindeo中德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74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21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5A的流式细胞术图存在6处重叠，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5b存在1处重叠面板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17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3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31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07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93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91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https://www.tandfonline.com/doi/full/10.1080/19336896.2019.1607464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60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2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0&amp;idx=2&amp;sn=3ece36db35a0c00574815974111218d9&amp;chksm=c3cc11e1d4a19590bcfa4835ce3bb719f17fffe600e680ed7d089b2c46f03aa51a6f90090895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