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大筛查随机发布｜上海交通大学医学院附属第六人民医院欧阳元明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周超、附属新华医院何劲等人的论文存在图片重复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14:03:28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57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58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9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00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888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33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64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61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2009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910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58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099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35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18&amp;idx=5&amp;sn=77c7846b32f1818fd5069574c436cf8f&amp;chksm=c398f6aeeeaf356f1193b88f3d47bec24cfec2a4205a804220a484350f46f0ada4ee0b8a04d1&amp;scene=126&amp;sessionid=17439579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