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07415"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360b636ffeb6f47592a8e8f0c5b974c723eabf9a8662e26e8ad360948e594b1e83ad7fbc33&amp;scene=126&amp;sessionid=17439594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