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中医药大学中药资源与化合物教育部重点实验室</w:t>
        </w:r>
        <w:r>
          <w:rPr>
            <w:rStyle w:val="a"/>
            <w:rFonts w:ascii="Times New Roman" w:eastAsia="Times New Roman" w:hAnsi="Times New Roman" w:cs="Times New Roman"/>
            <w:b w:val="0"/>
            <w:bCs w:val="0"/>
            <w:spacing w:val="8"/>
          </w:rPr>
          <w:t>ETM</w:t>
        </w:r>
        <w:r>
          <w:rPr>
            <w:rStyle w:val="a"/>
            <w:rFonts w:ascii="PMingLiU" w:eastAsia="PMingLiU" w:hAnsi="PMingLiU" w:cs="PMingLiU"/>
            <w:b w:val="0"/>
            <w:bCs w:val="0"/>
            <w:spacing w:val="8"/>
          </w:rPr>
          <w:t>论文流式图雷同他人撤回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2025-04-01 11:25:35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9328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b/>
                <w:bCs/>
                <w:i w:val="0"/>
                <w:iCs w:val="0"/>
                <w:caps w:val="0"/>
                <w:smallCaps w:val="0"/>
                <w:color w:val="111111"/>
                <w:spacing w:val="8"/>
                <w:sz w:val="28"/>
                <w:szCs w:val="28"/>
              </w:rPr>
              <w:t>××</w:t>
            </w:r>
            <w:r>
              <w:rPr>
                <w:rStyle w:val="any"/>
                <w:rFonts w:ascii="PMingLiU" w:eastAsia="PMingLiU" w:hAnsi="PMingLiU" w:cs="PMingLiU"/>
                <w:b/>
                <w:bCs/>
                <w:i w:val="0"/>
                <w:iCs w:val="0"/>
                <w:caps w:val="0"/>
                <w:smallCaps w:val="0"/>
                <w:color w:val="111111"/>
                <w:spacing w:val="8"/>
                <w:sz w:val="28"/>
                <w:szCs w:val="28"/>
              </w:rPr>
              <w:t>中医药大学中药资源与化合物教育部重点实验室</w:t>
            </w:r>
            <w:r>
              <w:rPr>
                <w:rStyle w:val="any"/>
                <w:b/>
                <w:bCs/>
                <w:i w:val="0"/>
                <w:iCs w:val="0"/>
                <w:caps w:val="0"/>
                <w:smallCaps w:val="0"/>
                <w:color w:val="111111"/>
                <w:spacing w:val="8"/>
                <w:sz w:val="28"/>
                <w:szCs w:val="28"/>
              </w:rPr>
              <w:t>ETM</w:t>
            </w:r>
            <w:r>
              <w:rPr>
                <w:rStyle w:val="any"/>
                <w:rFonts w:ascii="PMingLiU" w:eastAsia="PMingLiU" w:hAnsi="PMingLiU" w:cs="PMingLiU"/>
                <w:b/>
                <w:bCs/>
                <w:i w:val="0"/>
                <w:iCs w:val="0"/>
                <w:caps w:val="0"/>
                <w:smallCaps w:val="0"/>
                <w:color w:val="111111"/>
                <w:spacing w:val="8"/>
                <w:sz w:val="28"/>
                <w:szCs w:val="28"/>
              </w:rPr>
              <w:t>论文流式图雷同他人撤回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Functions of endothelin-1 in apoptosis and migration in hepatocellular carcinoma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内皮素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在肝细胞癌细胞凋亡和迁移中的作用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肝细胞癌（</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）是中国癌症死亡的第二大原因，也是全球癌症死亡的第三大原因。参与</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发展和进展的机制尚不清楚。本研究探讨内皮素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）在肝癌中的作用及其潜在机制。采用逆转录</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定量聚合酶链反应和</w:t>
            </w:r>
            <w:r>
              <w:rPr>
                <w:rStyle w:val="any"/>
                <w:rFonts w:ascii="Tahoma" w:eastAsia="Tahoma" w:hAnsi="Tahoma" w:cs="Tahoma"/>
                <w:b w:val="0"/>
                <w:bCs w:val="0"/>
                <w:i w:val="0"/>
                <w:iCs w:val="0"/>
                <w:caps w:val="0"/>
                <w:smallCaps w:val="0"/>
                <w:color w:val="111111"/>
                <w:spacing w:val="8"/>
                <w:sz w:val="21"/>
                <w:szCs w:val="21"/>
              </w:rPr>
              <w:t>western blotting</w:t>
            </w:r>
            <w:r>
              <w:rPr>
                <w:rStyle w:val="any"/>
                <w:rFonts w:ascii="PMingLiU" w:eastAsia="PMingLiU" w:hAnsi="PMingLiU" w:cs="PMingLiU"/>
                <w:b w:val="0"/>
                <w:bCs w:val="0"/>
                <w:i w:val="0"/>
                <w:iCs w:val="0"/>
                <w:caps w:val="0"/>
                <w:smallCaps w:val="0"/>
                <w:color w:val="111111"/>
                <w:spacing w:val="8"/>
                <w:sz w:val="21"/>
                <w:szCs w:val="21"/>
              </w:rPr>
              <w:t>检测</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细胞淋巴瘤</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相关蛋白</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Bax</w:t>
            </w:r>
            <w:r>
              <w:rPr>
                <w:rStyle w:val="any"/>
                <w:rFonts w:ascii="PMingLiU" w:eastAsia="PMingLiU" w:hAnsi="PMingLiU" w:cs="PMingLiU"/>
                <w:b w:val="0"/>
                <w:bCs w:val="0"/>
                <w:i w:val="0"/>
                <w:iCs w:val="0"/>
                <w:caps w:val="0"/>
                <w:smallCaps w:val="0"/>
                <w:color w:val="111111"/>
                <w:spacing w:val="8"/>
                <w:sz w:val="21"/>
                <w:szCs w:val="21"/>
              </w:rPr>
              <w:t>）、基质金属蛋白酶（</w:t>
            </w:r>
            <w:r>
              <w:rPr>
                <w:rStyle w:val="any"/>
                <w:rFonts w:ascii="Tahoma" w:eastAsia="Tahoma" w:hAnsi="Tahoma" w:cs="Tahoma"/>
                <w:b w:val="0"/>
                <w:bCs w:val="0"/>
                <w:i w:val="0"/>
                <w:iCs w:val="0"/>
                <w:caps w:val="0"/>
                <w:smallCaps w:val="0"/>
                <w:color w:val="111111"/>
                <w:spacing w:val="8"/>
                <w:sz w:val="21"/>
                <w:szCs w:val="21"/>
              </w:rPr>
              <w:t>MMP</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的表达。通过细胞计数试剂盒</w:t>
            </w:r>
            <w:r>
              <w:rPr>
                <w:rStyle w:val="any"/>
                <w:rFonts w:ascii="Tahoma" w:eastAsia="Tahoma" w:hAnsi="Tahoma" w:cs="Tahoma"/>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测定法测量细胞增殖。流式细胞术用于细胞周期和凋亡分析。通过</w:t>
            </w:r>
            <w:r>
              <w:rPr>
                <w:rStyle w:val="any"/>
                <w:rFonts w:ascii="Tahoma" w:eastAsia="Tahoma" w:hAnsi="Tahoma" w:cs="Tahoma"/>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测定测量迁移。结果表明，在癌症基因组图谱数据集中，与患者正常组织相比，</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组织中的表达显著增加（</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）。此外，下调</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能够显著抑制</w:t>
            </w:r>
            <w:r>
              <w:rPr>
                <w:rStyle w:val="any"/>
                <w:rFonts w:ascii="Tahoma" w:eastAsia="Tahoma" w:hAnsi="Tahoma" w:cs="Tahoma"/>
                <w:b w:val="0"/>
                <w:bCs w:val="0"/>
                <w:i w:val="0"/>
                <w:iCs w:val="0"/>
                <w:caps w:val="0"/>
                <w:smallCaps w:val="0"/>
                <w:color w:val="111111"/>
                <w:spacing w:val="8"/>
                <w:sz w:val="21"/>
                <w:szCs w:val="21"/>
              </w:rPr>
              <w:t>HCC SMMC-7721</w:t>
            </w:r>
            <w:r>
              <w:rPr>
                <w:rStyle w:val="any"/>
                <w:rFonts w:ascii="PMingLiU" w:eastAsia="PMingLiU" w:hAnsi="PMingLiU" w:cs="PMingLiU"/>
                <w:b w:val="0"/>
                <w:bCs w:val="0"/>
                <w:i w:val="0"/>
                <w:iCs w:val="0"/>
                <w:caps w:val="0"/>
                <w:smallCaps w:val="0"/>
                <w:color w:val="111111"/>
                <w:spacing w:val="8"/>
                <w:sz w:val="21"/>
                <w:szCs w:val="21"/>
              </w:rPr>
              <w:t>细胞系的体外（</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）和体内（</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）细胞增殖和生长，并诱导细胞周期阻滞（</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）和凋亡（</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）。生物信息学分析表明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激活了细胞凋亡信号通路。下调</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使</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细胞淋巴瘤（</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）相关蛋白</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Bax</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比值显著升高（</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下调还通过降低基质金属蛋白酶（</w:t>
            </w:r>
            <w:r>
              <w:rPr>
                <w:rStyle w:val="any"/>
                <w:rFonts w:ascii="Tahoma" w:eastAsia="Tahoma" w:hAnsi="Tahoma" w:cs="Tahoma"/>
                <w:b w:val="0"/>
                <w:bCs w:val="0"/>
                <w:i w:val="0"/>
                <w:iCs w:val="0"/>
                <w:caps w:val="0"/>
                <w:smallCaps w:val="0"/>
                <w:color w:val="111111"/>
                <w:spacing w:val="8"/>
                <w:sz w:val="21"/>
                <w:szCs w:val="21"/>
              </w:rPr>
              <w:t>MMP</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P&gt;0.05</w:t>
            </w:r>
            <w:r>
              <w:rPr>
                <w:rStyle w:val="any"/>
                <w:rFonts w:ascii="PMingLiU" w:eastAsia="PMingLiU" w:hAnsi="PMingLiU" w:cs="PMingLiU"/>
                <w:b w:val="0"/>
                <w:bCs w:val="0"/>
                <w:i w:val="0"/>
                <w:iCs w:val="0"/>
                <w:caps w:val="0"/>
                <w:smallCaps w:val="0"/>
                <w:color w:val="111111"/>
                <w:spacing w:val="8"/>
                <w:sz w:val="21"/>
                <w:szCs w:val="21"/>
              </w:rPr>
              <w:t>）的水平抑制</w:t>
            </w:r>
            <w:r>
              <w:rPr>
                <w:rStyle w:val="any"/>
                <w:rFonts w:ascii="Tahoma" w:eastAsia="Tahoma" w:hAnsi="Tahoma" w:cs="Tahoma"/>
                <w:b w:val="0"/>
                <w:bCs w:val="0"/>
                <w:i w:val="0"/>
                <w:iCs w:val="0"/>
                <w:caps w:val="0"/>
                <w:smallCaps w:val="0"/>
                <w:color w:val="111111"/>
                <w:spacing w:val="8"/>
                <w:sz w:val="21"/>
                <w:szCs w:val="21"/>
              </w:rPr>
              <w:t>SMMC-7721</w:t>
            </w:r>
            <w:r>
              <w:rPr>
                <w:rStyle w:val="any"/>
                <w:rFonts w:ascii="PMingLiU" w:eastAsia="PMingLiU" w:hAnsi="PMingLiU" w:cs="PMingLiU"/>
                <w:b w:val="0"/>
                <w:bCs w:val="0"/>
                <w:i w:val="0"/>
                <w:iCs w:val="0"/>
                <w:caps w:val="0"/>
                <w:smallCaps w:val="0"/>
                <w:color w:val="111111"/>
                <w:spacing w:val="8"/>
                <w:sz w:val="21"/>
                <w:szCs w:val="21"/>
              </w:rPr>
              <w:t>细胞的迁移（</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）。这些结果表明，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可能通过调节</w:t>
            </w:r>
            <w:r>
              <w:rPr>
                <w:rStyle w:val="any"/>
                <w:rFonts w:ascii="Tahoma" w:eastAsia="Tahoma" w:hAnsi="Tahoma" w:cs="Tahoma"/>
                <w:b w:val="0"/>
                <w:bCs w:val="0"/>
                <w:i w:val="0"/>
                <w:iCs w:val="0"/>
                <w:caps w:val="0"/>
                <w:smallCaps w:val="0"/>
                <w:color w:val="111111"/>
                <w:spacing w:val="8"/>
                <w:sz w:val="21"/>
                <w:szCs w:val="21"/>
              </w:rPr>
              <w:t>Bax/Bcl-2</w:t>
            </w:r>
            <w:r>
              <w:rPr>
                <w:rStyle w:val="any"/>
                <w:rFonts w:ascii="PMingLiU" w:eastAsia="PMingLiU" w:hAnsi="PMingLiU" w:cs="PMingLiU"/>
                <w:b w:val="0"/>
                <w:bCs w:val="0"/>
                <w:i w:val="0"/>
                <w:iCs w:val="0"/>
                <w:caps w:val="0"/>
                <w:smallCaps w:val="0"/>
                <w:color w:val="111111"/>
                <w:spacing w:val="8"/>
                <w:sz w:val="21"/>
                <w:szCs w:val="21"/>
              </w:rPr>
              <w:t>比值以及</w:t>
            </w:r>
            <w:r>
              <w:rPr>
                <w:rStyle w:val="any"/>
                <w:rFonts w:ascii="Tahoma" w:eastAsia="Tahoma" w:hAnsi="Tahoma" w:cs="Tahoma"/>
                <w:b w:val="0"/>
                <w:bCs w:val="0"/>
                <w:i w:val="0"/>
                <w:iCs w:val="0"/>
                <w:caps w:val="0"/>
                <w:smallCaps w:val="0"/>
                <w:color w:val="111111"/>
                <w:spacing w:val="8"/>
                <w:sz w:val="21"/>
                <w:szCs w:val="21"/>
              </w:rPr>
              <w:t>MMP-2</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的表达水平来影响</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细胞的凋亡和迁移，这表明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可能是治疗</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的潜在新靶点。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中医药大学中药资源与化合物教育部重点实验室，。</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广州中医药大学第一临床医学院，广东省广州市</w:t>
            </w:r>
            <w:r>
              <w:rPr>
                <w:rStyle w:val="any"/>
                <w:rFonts w:ascii="Tahoma" w:eastAsia="Tahoma" w:hAnsi="Tahoma" w:cs="Tahoma"/>
                <w:b w:val="0"/>
                <w:bCs w:val="0"/>
                <w:i w:val="0"/>
                <w:iCs w:val="0"/>
                <w:caps w:val="0"/>
                <w:smallCaps w:val="0"/>
                <w:color w:val="111111"/>
                <w:spacing w:val="8"/>
                <w:sz w:val="21"/>
                <w:szCs w:val="21"/>
              </w:rPr>
              <w:t>510405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3</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中医药大学临床医学院，</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ETM</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流式图与他人雷同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在本文发表后，一位关心的读者提请编辑注意，第</w:t>
            </w:r>
            <w:r>
              <w:rPr>
                <w:rStyle w:val="any"/>
                <w:rFonts w:ascii="Tahoma" w:eastAsia="Tahoma" w:hAnsi="Tahoma" w:cs="Tahoma"/>
                <w:b w:val="0"/>
                <w:bCs w:val="0"/>
                <w:i w:val="0"/>
                <w:iCs w:val="0"/>
                <w:caps w:val="0"/>
                <w:smallCaps w:val="0"/>
                <w:color w:val="111111"/>
                <w:spacing w:val="8"/>
                <w:sz w:val="21"/>
                <w:szCs w:val="21"/>
              </w:rPr>
              <w:t>3120</w:t>
            </w:r>
            <w:r>
              <w:rPr>
                <w:rStyle w:val="any"/>
                <w:rFonts w:ascii="PMingLiU" w:eastAsia="PMingLiU" w:hAnsi="PMingLiU" w:cs="PMingLiU"/>
                <w:b w:val="0"/>
                <w:bCs w:val="0"/>
                <w:i w:val="0"/>
                <w:iCs w:val="0"/>
                <w:caps w:val="0"/>
                <w:smallCaps w:val="0"/>
                <w:color w:val="111111"/>
                <w:spacing w:val="8"/>
                <w:sz w:val="21"/>
                <w:szCs w:val="21"/>
              </w:rPr>
              <w:t>页图</w:t>
            </w:r>
            <w:r>
              <w:rPr>
                <w:rStyle w:val="any"/>
                <w:rFonts w:ascii="Tahoma" w:eastAsia="Tahoma" w:hAnsi="Tahoma" w:cs="Tahoma"/>
                <w:b w:val="0"/>
                <w:bCs w:val="0"/>
                <w:i w:val="0"/>
                <w:iCs w:val="0"/>
                <w:caps w:val="0"/>
                <w:smallCaps w:val="0"/>
                <w:color w:val="111111"/>
                <w:spacing w:val="8"/>
                <w:sz w:val="21"/>
                <w:szCs w:val="21"/>
              </w:rPr>
              <w:t>3D</w:t>
            </w:r>
            <w:r>
              <w:rPr>
                <w:rStyle w:val="any"/>
                <w:rFonts w:ascii="PMingLiU" w:eastAsia="PMingLiU" w:hAnsi="PMingLiU" w:cs="PMingLiU"/>
                <w:b w:val="0"/>
                <w:bCs w:val="0"/>
                <w:i w:val="0"/>
                <w:iCs w:val="0"/>
                <w:caps w:val="0"/>
                <w:smallCaps w:val="0"/>
                <w:color w:val="111111"/>
                <w:spacing w:val="8"/>
                <w:sz w:val="21"/>
                <w:szCs w:val="21"/>
              </w:rPr>
              <w:t>中显示的某些流式细胞术分析数据与不同研究机构的不同作者撰写的另一篇文章中以不同形式出现的数据惊人地相似，该文章在实验和治疗医学收到本文之前已提交给《分子医学报告》杂志发表（随后被撤回）。鉴于上述数据在《实验与治疗医学》收到本文之前已经提交发表，编辑决定从《杂志》上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0497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23768" name=""/>
                          <pic:cNvPicPr>
                            <a:picLocks noChangeAspect="1"/>
                          </pic:cNvPicPr>
                        </pic:nvPicPr>
                        <pic:blipFill>
                          <a:blip xmlns:r="http://schemas.openxmlformats.org/officeDocument/2006/relationships" r:embed="rId7"/>
                          <a:stretch>
                            <a:fillRect/>
                          </a:stretch>
                        </pic:blipFill>
                        <pic:spPr>
                          <a:xfrm>
                            <a:off x="0" y="0"/>
                            <a:ext cx="3655791" cy="20497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29225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3436" name=""/>
                          <pic:cNvPicPr>
                            <a:picLocks noChangeAspect="1"/>
                          </pic:cNvPicPr>
                        </pic:nvPicPr>
                        <pic:blipFill>
                          <a:blip xmlns:r="http://schemas.openxmlformats.org/officeDocument/2006/relationships" r:embed="rId8"/>
                          <a:stretch>
                            <a:fillRect/>
                          </a:stretch>
                        </pic:blipFill>
                        <pic:spPr>
                          <a:xfrm>
                            <a:off x="0" y="0"/>
                            <a:ext cx="3654457" cy="129225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62155"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65025"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45043"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226&amp;idx=1&amp;sn=3ba7a581aa859fd5a1a62e2e1ab9f3b2&amp;chksm=c09df1dfd7a4a263a1d27d85e5ad0f8ecd2510b09f7eca8bd1f6ffa29a6294822aab94dcf468&amp;scene=126&amp;sessionid=17439585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