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卫健委公布山东部分机构医学科研诚信调查处理结果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卫健委公布山东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部分机构医学科研诚信调查处理结果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1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撤稿论文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6年内科研项目、科研奖励、科技成果、科技人才计划等申报资格；取消其6年内作为提名或推荐人、被提名或推荐人、评审专家等资格；暂停其研究生导师申请资格6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2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“Knockdown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为通讯作者发表论文“Knockdown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撤销其利用科研失信行为获得副主任医师职称资格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。取消其2年内科研项目、科研奖励、科技成果、科技人才计划等申报资格；取消其2年内作为提名或推荐人、被提名或推荐人、评审专家等资格；暂停其研究生导师申请资格2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：为青岛市城阳区人民医院职工，青岛市城阳区人民医院给予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：科研诚信诫勉谈话，取消2020年度评先树优资格。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4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“Ras-ERK1/2signaling participates in the progression of ?gastric cancer through repressing Aurora-B-mediated H1.4 phoshorylation at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为通讯作者发表论文“Ras-ERK1/2signaling participates in the progression of ?gastric cancer through repressing Aurora-B-mediated H1.4 phoshorylation at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、山东省青岛市第六人民医院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并列第一作者发表的论文“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，经查，系存在论文代写代投的学术不端行为。青岛市第六人民医院对通讯作者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及并列第一作者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科研诚信诫勉谈话，通报批评，取消五年内申请或申报科技计划项目（专项、基金等）、科技奖励、科技人才称号和专业技术职务晋升等资格，取消学会、协会、研究会等学术团体以及学术、学位委员会等学术工作机构的委员或成员资格，取消五年内作为提名或推荐人、被提名或推荐人、评审专家等资格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6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“Angelica polysaccharide alleviates oxidative response damage in HaCaT cells through up-regulation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为第一作者发表的论文“Angelica polysaccharide alleviates oxidative response damage in HaCaT cells through up-regulation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、第四作者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7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收回科研奖励，取消五年申请或申报科技计划项目、科技奖励、科技人才称号资格，取消五年专业技术职务晋升资格，取消由此获得的副高级职称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：科研诚信诫勉谈话，院内公开通报批评，取消一年申请或申报科技计划项目、科技奖励、科技人才称号资格，取消一年专业技术职务晋升资格。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4.对第三作者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：科研诚信诫勉谈话，院内公开通报批评，取消一年申请或申报科技计划项目、科技奖励、科技人才称号资格，取消一年专业技术职务晋升资格，取消中级职称。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8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，经查，系存在篡改实验数据的学术不端行为。对相关责任人作出如下处理：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：科研诚信诫勉谈话，院内公开通报批评，追回文章奖励并要求其主动向杂志社撤回文章，取消其五年申报科研项目、科技奖励、科技人才称号和职称晋升资格。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：科研诚信诫勉谈话，院内公开通报批评，取消其二年申报科研项目、科技奖励、科技人才称号和职称晋升资格。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0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6&amp;idx=1&amp;sn=93fba250dae1f6f6da7bfd9111188a20&amp;chksm=c04ff8f4a49690f98360e48bfefc7a00f63ac2984cddb1fd5c93c4ce28d8dc7a204c7abb9db6&amp;scene=126&amp;sessionid=17439585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