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山东大学齐鲁医院病理科主任团队论文多图重复引质疑，学术诚信遭拷问！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8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2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山东大学齐鲁医院病理科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MicroRNA-27b, microRNA-101 and microRNA-128 inhibit angiogenesis by down-regulating vascular endothelial growth factor C expression in gastric cancers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微RNA-27b、微RNA-101和微RNA-128通过下调胃癌中血管内皮生长因子C的表达抑制血管生成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81172351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）或教育部新世纪优秀人才支持计划（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NCET-12-0335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10.18632/oncotarget.6059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Hai-Ting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Peng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18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03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Brachypodium retusum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719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4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18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21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44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https://pubpeer.com/publications/03DFB5E4D6C6C65C3D756B727DB520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3&amp;sn=2497a4d81d65b84164d429ce5cde1394&amp;chksm=c0d93594427a6a0073298a480df442e0a46c1d1abf9600a209f5510c2c122dbc057ec2558de6&amp;scene=126&amp;sessionid=17439633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