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同济大学附属第十人民医院泌尿外科，上海交通大学医学院附属仁济医院合作论文图片被指大面积雷同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88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39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同济大学附属第十人民医院泌尿外科，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上海交通大学医学院附属仁济医院泌尿外科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Experimental &amp; Molecular Medicine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piRNA-1742 promotes renal cell carcinoma malignancy by regulating USP8 stability through binding to hnRNPU and thereby inhibiting MUC12 ubiquitination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piRNA-1742 通过与 hnRNPU 结合调节 USP8 的稳定性，进而抑制 MUC12 泛素化，从而促进肾细胞癌的恶性发展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81602469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）、中央高校基本科研业务费（批准号：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2016KJ045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）、上海市浦江人才计划（批准号：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20PJ1412400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）和上海市自然科学基金一般项目（批准号：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20ZR1443000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）、上海市科学技术委员会实验动物基金（批准号：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22140903800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）和上海市卫生委员会临床专项（批准号：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202040179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10.1038/s12276-023-01010-3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Wentao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（音译：彭波），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（音译：姚旭东），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上海交通大学医学院附属仁济医院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Junhua Zheng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（音译：郑军华）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437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75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Chrysochromulina throndsenii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另一篇文章中的重复图片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0767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94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0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36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https://pubpeer.com/publications/130DCDADFFD91947CA357A30DA63F5#0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1&amp;sn=826ca9fe8849ade9429a78d0c007726b&amp;chksm=c015ddab4f599564f3e2e0e331ee18e1dafd55f4ecbd3ed7e3a49e2c24fdf7e440e3fdba151b&amp;scene=126&amp;sessionid=17439633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