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山东大学齐鲁医院病理科主任多年前论文现多图重复，误用之说难服众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23:40:43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89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28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2015年，来自山东大学齐鲁医院病理科的 Hai-Ting Liu , Ai-Yan Xing , Xu Chen , Ran-Ran Ma , Ya-Wen Wang , Duan-Bo Shi , Hui Zhang , Peng Li , Hong-Fang Chen , Yu-Hong Li , Peng Gao （通讯作者、齐鲁医院病理科主任、山东大学基础医学院副院长）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MicroRNA-27b, microRNA-101 and microRNA-128 inhibit angiogenesis by down-regulating vascular endothelial growth factor C expression in gastric cancers 的论文。该研究得到了中国国家自然科学基金（项目编号：81172351）或中国教育部新世纪优秀人才支持计划（NCET-12-0335）的支持。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5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2025年4月，Brachypodium retusum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4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44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https://pubpeer.com/publications/03DFB5E4D6C6C65C3D756B727DB520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42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547&amp;idx=1&amp;sn=b41c74a9c36dd0cfd66fe41b26ea2a47&amp;chksm=c0ee644a909ea798e482ec1f1669c4b9ceacbdad31038912041d352b7374888e41b88515846b&amp;scene=126&amp;sessionid=1743959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