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图像放大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150%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惊现重叠！北京协和医学院医药生物技术研究所曾任所长研究惹争议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10:25:08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‘The dual topoisomerase inhibitor A35 preferentially and specially targets topoisomerase 2α by enhancing pre-strand and post-strand cleavage and inhibiting DNA religation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双拓扑异构酶抑制剂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A35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靶向作用机制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DOI:10.18632/oncotarget.5680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）的研究受到评论人质疑。该论文由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Wuli Zhao , Guohua Jiang , Chongwen Bi , Yangbiao Li , Jingbo Liu , Cheng Ye , Hongwei He , Liang Li , Danqing Song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Rongguang Shao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（通讯作者，曾任所长）共同完成，通讯单位为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中国医学科学院北京协和医学院医药生物技术研究所肿瘤实验室。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0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43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Lirceolus pilus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指出不同条件的荧光图放大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150%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5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92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https://pubpeer.com/publications/2599781F746F7BB68BF60FDF1AEDC1#0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28725" cy="123410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12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北京协和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北京协和医学院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803&amp;idx=3&amp;sn=adc2ca412da5daaa48eac7eda5a8e636&amp;chksm=c30f2a9d9edb0b2d9262e22a719ac743a0df28e721e71e3026776345425051f113068d4113d6&amp;scene=126&amp;sessionid=17439930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9103486244411802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