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几次更正后</w:t>
        </w:r>
        <w:r>
          <w:rPr>
            <w:rStyle w:val="a"/>
            <w:rFonts w:ascii="Times New Roman" w:eastAsia="Times New Roman" w:hAnsi="Times New Roman" w:cs="Times New Roman"/>
            <w:b w:val="0"/>
            <w:bCs w:val="0"/>
            <w:spacing w:val="8"/>
          </w:rPr>
          <w:t>Bik</w:t>
        </w:r>
        <w:r>
          <w:rPr>
            <w:rStyle w:val="a"/>
            <w:rFonts w:ascii="PMingLiU" w:eastAsia="PMingLiU" w:hAnsi="PMingLiU" w:cs="PMingLiU"/>
            <w:b w:val="0"/>
            <w:bCs w:val="0"/>
            <w:spacing w:val="8"/>
          </w:rPr>
          <w:t>还是反复质疑，北京协和医学院长聘教授论文被重点关注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2025-04-07 00:05:50</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lang w:val="en-US" w:eastAsia="en-US"/>
        </w:rPr>
        <w:t>《</w:t>
      </w:r>
      <w:r>
        <w:rPr>
          <w:rStyle w:val="any"/>
          <w:rFonts w:ascii="Times New Roman" w:eastAsia="Times New Roman" w:hAnsi="Times New Roman" w:cs="Times New Roman"/>
          <w:spacing w:val="8"/>
          <w:lang w:val="en-US" w:eastAsia="en-US"/>
        </w:rPr>
        <w:t>Frontiers in Pharmacology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2020 May 21:11:695.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10.3389/fphar.2020.00695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spacing w:val="8"/>
          <w:lang w:val="en-US" w:eastAsia="en-US"/>
        </w:rPr>
        <w:t>Elisabeth M Bik</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更正，</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23</w:t>
      </w:r>
      <w:r>
        <w:rPr>
          <w:rStyle w:val="any"/>
          <w:rFonts w:ascii="PMingLiU" w:eastAsia="PMingLiU" w:hAnsi="PMingLiU" w:cs="PMingLiU"/>
          <w:spacing w:val="8"/>
        </w:rPr>
        <w:t>日：</w:t>
      </w:r>
      <w:r>
        <w:rPr>
          <w:rStyle w:val="any"/>
          <w:rFonts w:ascii="Times New Roman" w:eastAsia="Times New Roman" w:hAnsi="Times New Roman" w:cs="Times New Roman"/>
          <w:spacing w:val="8"/>
          <w:lang w:val="en-US" w:eastAsia="en-US"/>
        </w:rPr>
        <w:t>https://www.frontiersin.org/journals/pharmacology/articles/10.3389/fphar.2020.01312/full</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在原始文章中，已发布的图</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中存在错误。图</w:t>
      </w:r>
      <w:r>
        <w:rPr>
          <w:rStyle w:val="any"/>
          <w:rFonts w:ascii="Times New Roman" w:eastAsia="Times New Roman" w:hAnsi="Times New Roman" w:cs="Times New Roman"/>
          <w:spacing w:val="8"/>
          <w:lang w:val="en-US" w:eastAsia="en-US"/>
        </w:rPr>
        <w:t>3B</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5C</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D</w:t>
      </w:r>
      <w:r>
        <w:rPr>
          <w:rStyle w:val="any"/>
          <w:rFonts w:ascii="PMingLiU" w:eastAsia="PMingLiU" w:hAnsi="PMingLiU" w:cs="PMingLiU"/>
          <w:spacing w:val="8"/>
        </w:rPr>
        <w:t>和图</w:t>
      </w:r>
      <w:r>
        <w:rPr>
          <w:rStyle w:val="any"/>
          <w:rFonts w:ascii="Times New Roman" w:eastAsia="Times New Roman" w:hAnsi="Times New Roman" w:cs="Times New Roman"/>
          <w:spacing w:val="8"/>
          <w:lang w:val="en-US" w:eastAsia="en-US"/>
        </w:rPr>
        <w:t>7C</w:t>
      </w:r>
      <w:r>
        <w:rPr>
          <w:rStyle w:val="any"/>
          <w:rFonts w:ascii="PMingLiU" w:eastAsia="PMingLiU" w:hAnsi="PMingLiU" w:cs="PMingLiU"/>
          <w:spacing w:val="8"/>
        </w:rPr>
        <w:t>中标记的符号</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w:t>
      </w:r>
      <w:r>
        <w:rPr>
          <w:rStyle w:val="any"/>
          <w:rFonts w:ascii="Times New Roman" w:eastAsia="Times New Roman" w:hAnsi="Times New Roman" w:cs="Times New Roman"/>
          <w:spacing w:val="8"/>
        </w:rPr>
        <w:t>”</w:t>
      </w:r>
      <w:r>
        <w:rPr>
          <w:rStyle w:val="any"/>
          <w:rFonts w:ascii="PMingLiU" w:eastAsia="PMingLiU" w:hAnsi="PMingLiU" w:cs="PMingLiU"/>
          <w:spacing w:val="8"/>
        </w:rPr>
        <w:t>和</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w:t>
      </w:r>
      <w:r>
        <w:rPr>
          <w:rStyle w:val="any"/>
          <w:rFonts w:ascii="Times New Roman" w:eastAsia="Times New Roman" w:hAnsi="Times New Roman" w:cs="Times New Roman"/>
          <w:spacing w:val="8"/>
        </w:rPr>
        <w:t>”</w:t>
      </w:r>
      <w:r>
        <w:rPr>
          <w:rStyle w:val="any"/>
          <w:rFonts w:ascii="PMingLiU" w:eastAsia="PMingLiU" w:hAnsi="PMingLiU" w:cs="PMingLiU"/>
          <w:spacing w:val="8"/>
        </w:rPr>
        <w:t>放错了位置。更正后的图</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如下。作者对此错误表示歉意，并声明这不会以任何方式改变文章的科学结论。原始文章已更新。</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spacing w:val="8"/>
          <w:lang w:val="en-US" w:eastAsia="en-US"/>
        </w:rPr>
        <w:t>Elisabeth M Bik</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第二次更正，</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18</w:t>
      </w:r>
      <w:r>
        <w:rPr>
          <w:rStyle w:val="any"/>
          <w:rFonts w:ascii="PMingLiU" w:eastAsia="PMingLiU" w:hAnsi="PMingLiU" w:cs="PMingLiU"/>
          <w:spacing w:val="8"/>
        </w:rPr>
        <w:t>日：</w:t>
      </w:r>
      <w:r>
        <w:rPr>
          <w:rStyle w:val="any"/>
          <w:rFonts w:ascii="Times New Roman" w:eastAsia="Times New Roman" w:hAnsi="Times New Roman" w:cs="Times New Roman"/>
          <w:spacing w:val="8"/>
          <w:lang w:val="en-US" w:eastAsia="en-US"/>
        </w:rPr>
        <w:t>https://www.frontiersin.org/journals/pharmacology/articles/10.3389/fphar.2024.1451696/full</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在原始文章中，发表的图</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中有一个错误。图</w:t>
      </w:r>
      <w:r>
        <w:rPr>
          <w:rStyle w:val="any"/>
          <w:rFonts w:ascii="Times New Roman" w:eastAsia="Times New Roman" w:hAnsi="Times New Roman" w:cs="Times New Roman"/>
          <w:spacing w:val="8"/>
          <w:lang w:val="en-US" w:eastAsia="en-US"/>
        </w:rPr>
        <w:t>7B</w:t>
      </w:r>
      <w:r>
        <w:rPr>
          <w:rStyle w:val="any"/>
          <w:rFonts w:ascii="PMingLiU" w:eastAsia="PMingLiU" w:hAnsi="PMingLiU" w:cs="PMingLiU"/>
          <w:spacing w:val="8"/>
        </w:rPr>
        <w:t>中的</w:t>
      </w:r>
      <w:r>
        <w:rPr>
          <w:rStyle w:val="any"/>
          <w:rFonts w:ascii="Times New Roman" w:eastAsia="Times New Roman" w:hAnsi="Times New Roman" w:cs="Times New Roman"/>
          <w:spacing w:val="8"/>
        </w:rPr>
        <w:t>β</w:t>
      </w:r>
      <w:r>
        <w:rPr>
          <w:rStyle w:val="any"/>
          <w:rFonts w:ascii="Times New Roman" w:eastAsia="Times New Roman" w:hAnsi="Times New Roman" w:cs="Times New Roman"/>
          <w:spacing w:val="8"/>
          <w:lang w:val="en-US" w:eastAsia="en-US"/>
        </w:rPr>
        <w:t>-actin</w:t>
      </w:r>
      <w:r>
        <w:rPr>
          <w:rStyle w:val="any"/>
          <w:rFonts w:ascii="PMingLiU" w:eastAsia="PMingLiU" w:hAnsi="PMingLiU" w:cs="PMingLiU"/>
          <w:spacing w:val="8"/>
        </w:rPr>
        <w:t>蛋白带放错了位置。更正后的图</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及其标题如下。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作者为这一错误道歉，并表示这不会以任何方式改变文章的科学结论。原始文章已经更新</w:t>
      </w:r>
      <w:r>
        <w:rPr>
          <w:rStyle w:val="any"/>
          <w:rFonts w:ascii="Times New Roman" w:eastAsia="Times New Roman" w:hAnsi="Times New Roman" w:cs="Times New Roman"/>
          <w:spacing w:val="8"/>
          <w:lang w:val="en-US" w:eastAsia="en-US"/>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spacing w:val="8"/>
          <w:lang w:val="en-US" w:eastAsia="en-US"/>
        </w:rPr>
        <w:t>Elisabeth M Bik</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回复：更正</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以下是原始发布的图</w:t>
      </w:r>
      <w:r>
        <w:rPr>
          <w:rStyle w:val="any"/>
          <w:rFonts w:ascii="Times New Roman" w:eastAsia="Times New Roman" w:hAnsi="Times New Roman" w:cs="Times New Roman"/>
          <w:spacing w:val="8"/>
          <w:lang w:val="en-US" w:eastAsia="en-US"/>
        </w:rPr>
        <w:t>3A</w:t>
      </w:r>
      <w:r>
        <w:rPr>
          <w:rStyle w:val="any"/>
          <w:rFonts w:ascii="PMingLiU" w:eastAsia="PMingLiU" w:hAnsi="PMingLiU" w:cs="PMingLiU"/>
          <w:spacing w:val="8"/>
        </w:rPr>
        <w:t>（左）和截至</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月的更正版本的比较。尽管更正的措辞表明图</w:t>
      </w:r>
      <w:r>
        <w:rPr>
          <w:rStyle w:val="any"/>
          <w:rFonts w:ascii="Times New Roman" w:eastAsia="Times New Roman" w:hAnsi="Times New Roman" w:cs="Times New Roman"/>
          <w:spacing w:val="8"/>
          <w:lang w:val="en-US" w:eastAsia="en-US"/>
        </w:rPr>
        <w:t>3B</w:t>
      </w:r>
      <w:r>
        <w:rPr>
          <w:rStyle w:val="any"/>
          <w:rFonts w:ascii="PMingLiU" w:eastAsia="PMingLiU" w:hAnsi="PMingLiU" w:cs="PMingLiU"/>
          <w:spacing w:val="8"/>
        </w:rPr>
        <w:t>中只有</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符号被更正，但图</w:t>
      </w:r>
      <w:r>
        <w:rPr>
          <w:rStyle w:val="any"/>
          <w:rFonts w:ascii="Times New Roman" w:eastAsia="Times New Roman" w:hAnsi="Times New Roman" w:cs="Times New Roman"/>
          <w:spacing w:val="8"/>
          <w:lang w:val="en-US" w:eastAsia="en-US"/>
        </w:rPr>
        <w:t>3A</w:t>
      </w:r>
      <w:r>
        <w:rPr>
          <w:rStyle w:val="any"/>
          <w:rFonts w:ascii="PMingLiU" w:eastAsia="PMingLiU" w:hAnsi="PMingLiU" w:cs="PMingLiU"/>
          <w:spacing w:val="8"/>
        </w:rPr>
        <w:t>中的所有四个面板也被不同的照片所取代。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作者能否澄清一下？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3241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123080" name=""/>
                    <pic:cNvPicPr>
                      <a:picLocks noChangeAspect="1"/>
                    </pic:cNvPicPr>
                  </pic:nvPicPr>
                  <pic:blipFill>
                    <a:blip xmlns:r="http://schemas.openxmlformats.org/officeDocument/2006/relationships" r:embed="rId6"/>
                    <a:stretch>
                      <a:fillRect/>
                    </a:stretch>
                  </pic:blipFill>
                  <pic:spPr>
                    <a:xfrm>
                      <a:off x="0" y="0"/>
                      <a:ext cx="5276850" cy="23241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更正</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这是最初发表的图</w:t>
      </w:r>
      <w:r>
        <w:rPr>
          <w:rStyle w:val="any"/>
          <w:rFonts w:ascii="Times New Roman" w:eastAsia="Times New Roman" w:hAnsi="Times New Roman" w:cs="Times New Roman"/>
          <w:spacing w:val="8"/>
          <w:lang w:val="en-US" w:eastAsia="en-US"/>
        </w:rPr>
        <w:t>7C</w:t>
      </w:r>
      <w:r>
        <w:rPr>
          <w:rStyle w:val="any"/>
          <w:rFonts w:ascii="PMingLiU" w:eastAsia="PMingLiU" w:hAnsi="PMingLiU" w:cs="PMingLiU"/>
          <w:spacing w:val="8"/>
        </w:rPr>
        <w:t>（更正错误地提到了图</w:t>
      </w:r>
      <w:r>
        <w:rPr>
          <w:rStyle w:val="any"/>
          <w:rFonts w:ascii="Times New Roman" w:eastAsia="Times New Roman" w:hAnsi="Times New Roman" w:cs="Times New Roman"/>
          <w:spacing w:val="8"/>
          <w:lang w:val="en-US" w:eastAsia="en-US"/>
        </w:rPr>
        <w:t>7B**</w:t>
      </w:r>
      <w:r>
        <w:rPr>
          <w:rStyle w:val="any"/>
          <w:rFonts w:ascii="PMingLiU" w:eastAsia="PMingLiU" w:hAnsi="PMingLiU" w:cs="PMingLiU"/>
          <w:spacing w:val="8"/>
        </w:rPr>
        <w:t>）</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LaminB</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b-Actin</w:t>
      </w:r>
      <w:r>
        <w:rPr>
          <w:rStyle w:val="any"/>
          <w:rFonts w:ascii="PMingLiU" w:eastAsia="PMingLiU" w:hAnsi="PMingLiU" w:cs="PMingLiU"/>
          <w:spacing w:val="8"/>
        </w:rPr>
        <w:t>面板是相同的（红框）。</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809625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949676" name=""/>
                    <pic:cNvPicPr>
                      <a:picLocks noChangeAspect="1"/>
                    </pic:cNvPicPr>
                  </pic:nvPicPr>
                  <pic:blipFill>
                    <a:blip xmlns:r="http://schemas.openxmlformats.org/officeDocument/2006/relationships" r:embed="rId7"/>
                    <a:stretch>
                      <a:fillRect/>
                    </a:stretch>
                  </pic:blipFill>
                  <pic:spPr>
                    <a:xfrm>
                      <a:off x="0" y="0"/>
                      <a:ext cx="5276850" cy="80962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https://pubmed.ncbi.nlm.nih.gov/32528282/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4479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544444" name=""/>
                    <pic:cNvPicPr>
                      <a:picLocks noChangeAspect="1"/>
                    </pic:cNvPicPr>
                  </pic:nvPicPr>
                  <pic:blipFill>
                    <a:blip xmlns:r="http://schemas.openxmlformats.org/officeDocument/2006/relationships" r:embed="rId8"/>
                    <a:stretch>
                      <a:fillRect/>
                    </a:stretch>
                  </pic:blipFill>
                  <pic:spPr>
                    <a:xfrm>
                      <a:off x="0" y="0"/>
                      <a:ext cx="5276850" cy="24479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孙晓波，研究员，北京协和医学院长聘教授，博士研究生导师。</w:t>
      </w:r>
      <w:r>
        <w:rPr>
          <w:rStyle w:val="any"/>
          <w:rFonts w:ascii="Times New Roman" w:eastAsia="Times New Roman" w:hAnsi="Times New Roman" w:cs="Times New Roman"/>
          <w:spacing w:val="8"/>
        </w:rPr>
        <w:t>“</w:t>
      </w:r>
      <w:r>
        <w:rPr>
          <w:rStyle w:val="any"/>
          <w:rFonts w:ascii="PMingLiU" w:eastAsia="PMingLiU" w:hAnsi="PMingLiU" w:cs="PMingLiU"/>
          <w:spacing w:val="8"/>
        </w:rPr>
        <w:t>百千万人才工程</w:t>
      </w:r>
      <w:r>
        <w:rPr>
          <w:rStyle w:val="any"/>
          <w:rFonts w:ascii="Times New Roman" w:eastAsia="Times New Roman" w:hAnsi="Times New Roman" w:cs="Times New Roman"/>
          <w:spacing w:val="8"/>
        </w:rPr>
        <w:t>”</w:t>
      </w:r>
      <w:r>
        <w:rPr>
          <w:rStyle w:val="any"/>
          <w:rFonts w:ascii="PMingLiU" w:eastAsia="PMingLiU" w:hAnsi="PMingLiU" w:cs="PMingLiU"/>
          <w:spacing w:val="8"/>
        </w:rPr>
        <w:t>国家级人选，中医药传承与创新</w:t>
      </w:r>
      <w:r>
        <w:rPr>
          <w:rStyle w:val="any"/>
          <w:rFonts w:ascii="Times New Roman" w:eastAsia="Times New Roman" w:hAnsi="Times New Roman" w:cs="Times New Roman"/>
          <w:spacing w:val="8"/>
        </w:rPr>
        <w:t>“</w:t>
      </w:r>
      <w:r>
        <w:rPr>
          <w:rStyle w:val="any"/>
          <w:rFonts w:ascii="PMingLiU" w:eastAsia="PMingLiU" w:hAnsi="PMingLiU" w:cs="PMingLiU"/>
          <w:spacing w:val="8"/>
        </w:rPr>
        <w:t>百千万</w:t>
      </w:r>
      <w:r>
        <w:rPr>
          <w:rStyle w:val="any"/>
          <w:rFonts w:ascii="Times New Roman" w:eastAsia="Times New Roman" w:hAnsi="Times New Roman" w:cs="Times New Roman"/>
          <w:spacing w:val="8"/>
        </w:rPr>
        <w:t>”</w:t>
      </w:r>
      <w:r>
        <w:rPr>
          <w:rStyle w:val="any"/>
          <w:rFonts w:ascii="PMingLiU" w:eastAsia="PMingLiU" w:hAnsi="PMingLiU" w:cs="PMingLiU"/>
          <w:spacing w:val="8"/>
        </w:rPr>
        <w:t>人才工程（岐黄工程）岐黄学者，全国五一劳动奖章，北京市师德先锋，北京协和医学院优秀教师。中华中医药学会特聘副会长兼任中药资源学分会主任委员，中国中药协会特聘副会长兼任人参属药用植物研究发展专业委员会主任委员，国家中药材标准化与质量评估创新联盟常务副理事长，</w:t>
      </w:r>
      <w:r>
        <w:rPr>
          <w:rStyle w:val="any"/>
          <w:rFonts w:ascii="Times New Roman" w:eastAsia="Times New Roman" w:hAnsi="Times New Roman" w:cs="Times New Roman"/>
          <w:spacing w:val="8"/>
          <w:lang w:val="en-US" w:eastAsia="en-US"/>
        </w:rPr>
        <w:t>WHO</w:t>
      </w:r>
      <w:r>
        <w:rPr>
          <w:rStyle w:val="any"/>
          <w:rFonts w:ascii="PMingLiU" w:eastAsia="PMingLiU" w:hAnsi="PMingLiU" w:cs="PMingLiU"/>
          <w:spacing w:val="8"/>
        </w:rPr>
        <w:t>传统医学合作中心（药用植物）主任。国家科技进步奖审评专家，国家重大专项评审专家，国家药典委员会委员。主要从事中药药效物质基础与作用机制研究及创新药物开发。主持或主要参加</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973</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863</w:t>
      </w:r>
      <w:r>
        <w:rPr>
          <w:rStyle w:val="any"/>
          <w:rFonts w:ascii="Times New Roman" w:eastAsia="Times New Roman" w:hAnsi="Times New Roman" w:cs="Times New Roman"/>
          <w:spacing w:val="8"/>
        </w:rPr>
        <w:t>”</w:t>
      </w:r>
      <w:r>
        <w:rPr>
          <w:rStyle w:val="any"/>
          <w:rFonts w:ascii="PMingLiU" w:eastAsia="PMingLiU" w:hAnsi="PMingLiU" w:cs="PMingLiU"/>
          <w:spacing w:val="8"/>
        </w:rPr>
        <w:t>、国家重大新药创制专项、</w:t>
      </w:r>
      <w:r>
        <w:rPr>
          <w:rStyle w:val="any"/>
          <w:rFonts w:ascii="Times New Roman" w:eastAsia="Times New Roman" w:hAnsi="Times New Roman" w:cs="Times New Roman"/>
          <w:spacing w:val="8"/>
        </w:rPr>
        <w:t>“</w:t>
      </w:r>
      <w:r>
        <w:rPr>
          <w:rStyle w:val="any"/>
          <w:rFonts w:ascii="PMingLiU" w:eastAsia="PMingLiU" w:hAnsi="PMingLiU" w:cs="PMingLiU"/>
          <w:spacing w:val="8"/>
        </w:rPr>
        <w:t>十五攻关</w:t>
      </w:r>
      <w:r>
        <w:rPr>
          <w:rStyle w:val="any"/>
          <w:rFonts w:ascii="Times New Roman" w:eastAsia="Times New Roman" w:hAnsi="Times New Roman" w:cs="Times New Roman"/>
          <w:spacing w:val="8"/>
        </w:rPr>
        <w:t>”</w:t>
      </w:r>
      <w:r>
        <w:rPr>
          <w:rStyle w:val="any"/>
          <w:rFonts w:ascii="PMingLiU" w:eastAsia="PMingLiU" w:hAnsi="PMingLiU" w:cs="PMingLiU"/>
          <w:spacing w:val="8"/>
        </w:rPr>
        <w:t>等</w:t>
      </w:r>
      <w:r>
        <w:rPr>
          <w:rStyle w:val="any"/>
          <w:rFonts w:ascii="Times New Roman" w:eastAsia="Times New Roman" w:hAnsi="Times New Roman" w:cs="Times New Roman"/>
          <w:spacing w:val="8"/>
          <w:lang w:val="en-US" w:eastAsia="en-US"/>
        </w:rPr>
        <w:t>40</w:t>
      </w:r>
      <w:r>
        <w:rPr>
          <w:rStyle w:val="any"/>
          <w:rFonts w:ascii="PMingLiU" w:eastAsia="PMingLiU" w:hAnsi="PMingLiU" w:cs="PMingLiU"/>
          <w:spacing w:val="8"/>
        </w:rPr>
        <w:t>余项，新药研制</w:t>
      </w:r>
      <w:r>
        <w:rPr>
          <w:rStyle w:val="any"/>
          <w:rFonts w:ascii="Times New Roman" w:eastAsia="Times New Roman" w:hAnsi="Times New Roman" w:cs="Times New Roman"/>
          <w:spacing w:val="8"/>
          <w:lang w:val="en-US" w:eastAsia="en-US"/>
        </w:rPr>
        <w:t>30</w:t>
      </w:r>
      <w:r>
        <w:rPr>
          <w:rStyle w:val="any"/>
          <w:rFonts w:ascii="PMingLiU" w:eastAsia="PMingLiU" w:hAnsi="PMingLiU" w:cs="PMingLiU"/>
          <w:spacing w:val="8"/>
        </w:rPr>
        <w:t>余项；发表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200</w:t>
      </w:r>
      <w:r>
        <w:rPr>
          <w:rStyle w:val="any"/>
          <w:rFonts w:ascii="PMingLiU" w:eastAsia="PMingLiU" w:hAnsi="PMingLiU" w:cs="PMingLiU"/>
          <w:spacing w:val="8"/>
        </w:rPr>
        <w:t>余篇，入选</w:t>
      </w:r>
      <w:r>
        <w:rPr>
          <w:rStyle w:val="any"/>
          <w:rFonts w:ascii="Times New Roman" w:eastAsia="Times New Roman" w:hAnsi="Times New Roman" w:cs="Times New Roman"/>
          <w:spacing w:val="8"/>
          <w:lang w:val="en-US" w:eastAsia="en-US"/>
        </w:rPr>
        <w:t>2021</w:t>
      </w:r>
      <w:r>
        <w:rPr>
          <w:rStyle w:val="any"/>
          <w:rFonts w:ascii="Times New Roman" w:eastAsia="Times New Roman" w:hAnsi="Times New Roman" w:cs="Times New Roman"/>
          <w:spacing w:val="8"/>
        </w:rPr>
        <w:t>“</w:t>
      </w:r>
      <w:r>
        <w:rPr>
          <w:rStyle w:val="any"/>
          <w:rFonts w:ascii="PMingLiU" w:eastAsia="PMingLiU" w:hAnsi="PMingLiU" w:cs="PMingLiU"/>
          <w:spacing w:val="8"/>
        </w:rPr>
        <w:t>中国高被引学者</w:t>
      </w:r>
      <w:r>
        <w:rPr>
          <w:rStyle w:val="any"/>
          <w:rFonts w:ascii="Times New Roman" w:eastAsia="Times New Roman" w:hAnsi="Times New Roman" w:cs="Times New Roman"/>
          <w:spacing w:val="8"/>
        </w:rPr>
        <w:t>”</w:t>
      </w:r>
      <w:r>
        <w:rPr>
          <w:rStyle w:val="any"/>
          <w:rFonts w:ascii="PMingLiU" w:eastAsia="PMingLiU" w:hAnsi="PMingLiU" w:cs="PMingLiU"/>
          <w:spacing w:val="8"/>
        </w:rPr>
        <w:t>榜单；主编及副主编著作</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部；授权专利</w:t>
      </w:r>
      <w:r>
        <w:rPr>
          <w:rStyle w:val="any"/>
          <w:rFonts w:ascii="Times New Roman" w:eastAsia="Times New Roman" w:hAnsi="Times New Roman" w:cs="Times New Roman"/>
          <w:spacing w:val="8"/>
          <w:lang w:val="en-US" w:eastAsia="en-US"/>
        </w:rPr>
        <w:t>18</w:t>
      </w:r>
      <w:r>
        <w:rPr>
          <w:rStyle w:val="any"/>
          <w:rFonts w:ascii="PMingLiU" w:eastAsia="PMingLiU" w:hAnsi="PMingLiU" w:cs="PMingLiU"/>
          <w:spacing w:val="8"/>
        </w:rPr>
        <w:t>项，开发创新药及药物上市后再评价</w:t>
      </w:r>
      <w:r>
        <w:rPr>
          <w:rStyle w:val="any"/>
          <w:rFonts w:ascii="Times New Roman" w:eastAsia="Times New Roman" w:hAnsi="Times New Roman" w:cs="Times New Roman"/>
          <w:spacing w:val="8"/>
          <w:lang w:val="en-US" w:eastAsia="en-US"/>
        </w:rPr>
        <w:t>20</w:t>
      </w:r>
      <w:r>
        <w:rPr>
          <w:rStyle w:val="any"/>
          <w:rFonts w:ascii="PMingLiU" w:eastAsia="PMingLiU" w:hAnsi="PMingLiU" w:cs="PMingLiU"/>
          <w:spacing w:val="8"/>
        </w:rPr>
        <w:t>余项，申请美国</w:t>
      </w:r>
      <w:r>
        <w:rPr>
          <w:rStyle w:val="any"/>
          <w:rFonts w:ascii="Times New Roman" w:eastAsia="Times New Roman" w:hAnsi="Times New Roman" w:cs="Times New Roman"/>
          <w:spacing w:val="8"/>
          <w:lang w:val="en-US" w:eastAsia="en-US"/>
        </w:rPr>
        <w:t>FDA</w:t>
      </w:r>
      <w:r>
        <w:rPr>
          <w:rStyle w:val="any"/>
          <w:rFonts w:ascii="PMingLiU" w:eastAsia="PMingLiU" w:hAnsi="PMingLiU" w:cs="PMingLiU"/>
          <w:spacing w:val="8"/>
        </w:rPr>
        <w:t>注册</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项；获国家科技进步二等奖</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项，省部级一等奖</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项、二等奖多项。构建基于中药复杂体系的创新药物研发技术平台，创建产学研一体化模式，将</w:t>
      </w:r>
      <w:r>
        <w:rPr>
          <w:rStyle w:val="any"/>
          <w:rFonts w:ascii="Times New Roman" w:eastAsia="Times New Roman" w:hAnsi="Times New Roman" w:cs="Times New Roman"/>
          <w:spacing w:val="8"/>
        </w:rPr>
        <w:t>“</w:t>
      </w:r>
      <w:r>
        <w:rPr>
          <w:rStyle w:val="any"/>
          <w:rFonts w:ascii="PMingLiU" w:eastAsia="PMingLiU" w:hAnsi="PMingLiU" w:cs="PMingLiU"/>
          <w:spacing w:val="8"/>
        </w:rPr>
        <w:t>整合药理学</w:t>
      </w:r>
      <w:r>
        <w:rPr>
          <w:rStyle w:val="any"/>
          <w:rFonts w:ascii="Times New Roman" w:eastAsia="Times New Roman" w:hAnsi="Times New Roman" w:cs="Times New Roman"/>
          <w:spacing w:val="8"/>
        </w:rPr>
        <w:t>”</w:t>
      </w:r>
      <w:r>
        <w:rPr>
          <w:rStyle w:val="any"/>
          <w:rFonts w:ascii="PMingLiU" w:eastAsia="PMingLiU" w:hAnsi="PMingLiU" w:cs="PMingLiU"/>
          <w:spacing w:val="8"/>
        </w:rPr>
        <w:t>思维、技术、方法应用于中药复方研究，快速辨识药效物质，深入系统阐述其作用机制及多成分多靶点生物效应的特色。主持或参加原</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类、</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类、</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类新药开发</w:t>
      </w:r>
      <w:r>
        <w:rPr>
          <w:rStyle w:val="any"/>
          <w:rFonts w:ascii="Times New Roman" w:eastAsia="Times New Roman" w:hAnsi="Times New Roman" w:cs="Times New Roman"/>
          <w:spacing w:val="8"/>
          <w:lang w:val="en-US" w:eastAsia="en-US"/>
        </w:rPr>
        <w:t>15</w:t>
      </w:r>
      <w:r>
        <w:rPr>
          <w:rStyle w:val="any"/>
          <w:rFonts w:ascii="PMingLiU" w:eastAsia="PMingLiU" w:hAnsi="PMingLiU" w:cs="PMingLiU"/>
          <w:spacing w:val="8"/>
        </w:rPr>
        <w:t>项，获新药证书</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项，临床批件</w:t>
      </w:r>
      <w:r>
        <w:rPr>
          <w:rStyle w:val="any"/>
          <w:rFonts w:ascii="Times New Roman" w:eastAsia="Times New Roman" w:hAnsi="Times New Roman" w:cs="Times New Roman"/>
          <w:spacing w:val="8"/>
          <w:lang w:val="en-US" w:eastAsia="en-US"/>
        </w:rPr>
        <w:t>11</w:t>
      </w:r>
      <w:r>
        <w:rPr>
          <w:rStyle w:val="any"/>
          <w:rFonts w:ascii="PMingLiU" w:eastAsia="PMingLiU" w:hAnsi="PMingLiU" w:cs="PMingLiU"/>
          <w:spacing w:val="8"/>
        </w:rPr>
        <w:t>项。</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https://pubpeer.com/publications/CE9CF797B2E906D34EEC142BE922D6#0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777&amp;idx=1&amp;sn=1fbd09d694168d09a05ea315c449a4dc&amp;chksm=c3cfda573b519121bf4559b4ee62f755318c719cbdf51e2ffc378aa24565339cb012b0b94041&amp;scene=126&amp;sessionid=1743959481"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