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长期图片混乱，同济大学附属第十人民医院彭波</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2023 Sep;42(40):2956-2970.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10.1038/s41388-023-02814-3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Cladosporium colombiae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两篇出版物中可能存在体内成像数据的重复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53000" cy="2686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52186" name=""/>
                    <pic:cNvPicPr>
                      <a:picLocks noChangeAspect="1"/>
                    </pic:cNvPicPr>
                  </pic:nvPicPr>
                  <pic:blipFill>
                    <a:blip xmlns:r="http://schemas.openxmlformats.org/officeDocument/2006/relationships" r:embed="rId6"/>
                    <a:stretch>
                      <a:fillRect/>
                    </a:stretch>
                  </pic:blipFill>
                  <pic:spPr>
                    <a:xfrm>
                      <a:off x="0" y="0"/>
                      <a:ext cx="495300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8A</w:t>
      </w:r>
      <w:r>
        <w:rPr>
          <w:rStyle w:val="any"/>
          <w:rFonts w:ascii="PMingLiU" w:eastAsia="PMingLiU" w:hAnsi="PMingLiU" w:cs="PMingLiU"/>
          <w:spacing w:val="8"/>
        </w:rPr>
        <w:t>中的图像显示出惊人的相似模式，尽管被描述为不同实验条件的结果。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使用</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的比较分析进一步证实了这些图像之间的高度相似性，表明可能存在重复或重用。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鉴于这些论文是在不同年份发表的，我希望作者能澄清这一观察结果。解决这个问题将有利于维护科学记录的完整性。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我期待着作者就此事作出澄清。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附件</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Zhang H, Wang K, Ni J, Ma X, Khoury CJ, Prifti V, Hoard B, Cerenzia EG, Yin L, Zhang H, Wang R, Zhuo D, Mao W, Peng B. M6A-mediated-upregulation of lncRNA BLACAT3 promotes bladder cancer angiogenesis and hematogenous metastasis through YBX3 nuclear shuttling and enhancing NCF2 transcription. Oncogene. 2023 Sep;42(40):2956-2970. doi: 10.1038/s41388-023-02814-3. Epub 2023 Aug 23. PMID: 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38725" cy="42100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7294" name=""/>
                    <pic:cNvPicPr>
                      <a:picLocks noChangeAspect="1"/>
                    </pic:cNvPicPr>
                  </pic:nvPicPr>
                  <pic:blipFill>
                    <a:blip xmlns:r="http://schemas.openxmlformats.org/officeDocument/2006/relationships" r:embed="rId7"/>
                    <a:stretch>
                      <a:fillRect/>
                    </a:stretch>
                  </pic:blipFill>
                  <pic:spPr>
                    <a:xfrm>
                      <a:off x="0" y="0"/>
                      <a:ext cx="5038725" cy="4210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3:BLACAT3</w:t>
      </w:r>
      <w:r>
        <w:rPr>
          <w:rStyle w:val="any"/>
          <w:rFonts w:ascii="PMingLiU" w:eastAsia="PMingLiU" w:hAnsi="PMingLiU" w:cs="PMingLiU"/>
          <w:spacing w:val="8"/>
        </w:rPr>
        <w:t>对</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体内增殖的影响。</w:t>
      </w:r>
      <w:r>
        <w:rPr>
          <w:rStyle w:val="any"/>
          <w:rFonts w:ascii="Times New Roman" w:eastAsia="Times New Roman" w:hAnsi="Times New Roman" w:cs="Times New Roman"/>
          <w:spacing w:val="8"/>
          <w:lang w:val="en-US" w:eastAsia="en-US"/>
        </w:rPr>
        <w:t>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G</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NSG</w:t>
      </w:r>
      <w:r>
        <w:rPr>
          <w:rStyle w:val="any"/>
          <w:rFonts w:ascii="PMingLiU" w:eastAsia="PMingLiU" w:hAnsi="PMingLiU" w:cs="PMingLiU"/>
          <w:spacing w:val="8"/>
        </w:rPr>
        <w:t>小鼠皮下注射具有稳定</w:t>
      </w:r>
      <w:r>
        <w:rPr>
          <w:rStyle w:val="any"/>
          <w:rFonts w:ascii="Times New Roman" w:eastAsia="Times New Roman" w:hAnsi="Times New Roman" w:cs="Times New Roman"/>
          <w:spacing w:val="8"/>
          <w:lang w:val="en-US" w:eastAsia="en-US"/>
        </w:rPr>
        <w:t>BLACAT3</w:t>
      </w:r>
      <w:r>
        <w:rPr>
          <w:rStyle w:val="any"/>
          <w:rFonts w:ascii="PMingLiU" w:eastAsia="PMingLiU" w:hAnsi="PMingLiU" w:cs="PMingLiU"/>
          <w:spacing w:val="8"/>
        </w:rPr>
        <w:t>过表达的</w:t>
      </w:r>
      <w:r>
        <w:rPr>
          <w:rStyle w:val="any"/>
          <w:rFonts w:ascii="Times New Roman" w:eastAsia="Times New Roman" w:hAnsi="Times New Roman" w:cs="Times New Roman"/>
          <w:spacing w:val="8"/>
          <w:lang w:val="en-US" w:eastAsia="en-US"/>
        </w:rPr>
        <w:t>5637</w:t>
      </w:r>
      <w:r>
        <w:rPr>
          <w:rStyle w:val="any"/>
          <w:rFonts w:ascii="PMingLiU" w:eastAsia="PMingLiU" w:hAnsi="PMingLiU" w:cs="PMingLiU"/>
          <w:spacing w:val="8"/>
        </w:rPr>
        <w:t>个细胞后第</w:t>
      </w:r>
      <w:r>
        <w:rPr>
          <w:rStyle w:val="any"/>
          <w:rFonts w:ascii="Times New Roman" w:eastAsia="Times New Roman" w:hAnsi="Times New Roman" w:cs="Times New Roman"/>
          <w:spacing w:val="8"/>
          <w:lang w:val="en-US" w:eastAsia="en-US"/>
        </w:rPr>
        <w:t>28</w:t>
      </w:r>
      <w:r>
        <w:rPr>
          <w:rStyle w:val="any"/>
          <w:rFonts w:ascii="PMingLiU" w:eastAsia="PMingLiU" w:hAnsi="PMingLiU" w:cs="PMingLiU"/>
          <w:spacing w:val="8"/>
        </w:rPr>
        <w:t>天进行体内成像，并对代表性图像进行荧光定量统计。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Xie J, Ni J, Shi H, Wang K, Ma X, Li W, Peng B. LncRNA SNHG3 enhances BMI1 mRNA stability by binding and regulating c-MYC: Implications for the carcinogenic role of SNHG3 in bladder cancer. Cancer Med. 2023 Mar;12(5):5718-5735. doi: 10.1002/cam4.5316. Epub 2022 Oct 8. PMID: 36208024.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343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40986" name=""/>
                    <pic:cNvPicPr>
                      <a:picLocks noChangeAspect="1"/>
                    </pic:cNvPicPr>
                  </pic:nvPicPr>
                  <pic:blipFill>
                    <a:blip xmlns:r="http://schemas.openxmlformats.org/officeDocument/2006/relationships" r:embed="rId8"/>
                    <a:stretch>
                      <a:fillRect/>
                    </a:stretch>
                  </pic:blipFill>
                  <pic:spPr>
                    <a:xfrm>
                      <a:off x="0" y="0"/>
                      <a:ext cx="4895850" cy="3343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8.SNHG3</w:t>
      </w:r>
      <w:r>
        <w:rPr>
          <w:rStyle w:val="any"/>
          <w:rFonts w:ascii="PMingLiU" w:eastAsia="PMingLiU" w:hAnsi="PMingLiU" w:cs="PMingLiU"/>
          <w:spacing w:val="8"/>
        </w:rPr>
        <w:t>的敲除显著抑制</w:t>
      </w:r>
      <w:r>
        <w:rPr>
          <w:rStyle w:val="any"/>
          <w:rFonts w:ascii="Times New Roman" w:eastAsia="Times New Roman" w:hAnsi="Times New Roman" w:cs="Times New Roman"/>
          <w:spacing w:val="8"/>
          <w:lang w:val="en-US" w:eastAsia="en-US"/>
        </w:rPr>
        <w:t>BLCa</w:t>
      </w:r>
      <w:r>
        <w:rPr>
          <w:rStyle w:val="any"/>
          <w:rFonts w:ascii="PMingLiU" w:eastAsia="PMingLiU" w:hAnsi="PMingLiU" w:cs="PMingLiU"/>
          <w:spacing w:val="8"/>
        </w:rPr>
        <w:t>异种移植物肿瘤的生长。（</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我们用</w:t>
      </w:r>
      <w:r>
        <w:rPr>
          <w:rStyle w:val="any"/>
          <w:rFonts w:ascii="Times New Roman" w:eastAsia="Times New Roman" w:hAnsi="Times New Roman" w:cs="Times New Roman"/>
          <w:spacing w:val="8"/>
          <w:lang w:val="en-US" w:eastAsia="en-US"/>
        </w:rPr>
        <w:t>sgRNA2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sgRNA3</w:t>
      </w:r>
      <w:r>
        <w:rPr>
          <w:rStyle w:val="any"/>
          <w:rFonts w:ascii="PMingLiU" w:eastAsia="PMingLiU" w:hAnsi="PMingLiU" w:cs="PMingLiU"/>
          <w:spacing w:val="8"/>
        </w:rPr>
        <w:t>慢病毒感染</w:t>
      </w:r>
      <w:r>
        <w:rPr>
          <w:rStyle w:val="any"/>
          <w:rFonts w:ascii="Times New Roman" w:eastAsia="Times New Roman" w:hAnsi="Times New Roman" w:cs="Times New Roman"/>
          <w:spacing w:val="8"/>
          <w:lang w:val="en-US" w:eastAsia="en-US"/>
        </w:rPr>
        <w:t>T24</w:t>
      </w:r>
      <w:r>
        <w:rPr>
          <w:rStyle w:val="any"/>
          <w:rFonts w:ascii="PMingLiU" w:eastAsia="PMingLiU" w:hAnsi="PMingLiU" w:cs="PMingLiU"/>
          <w:spacing w:val="8"/>
        </w:rPr>
        <w:t>细胞，构建稳定的菌株，并将空载体（</w:t>
      </w:r>
      <w:r>
        <w:rPr>
          <w:rStyle w:val="any"/>
          <w:rFonts w:ascii="Times New Roman" w:eastAsia="Times New Roman" w:hAnsi="Times New Roman" w:cs="Times New Roman"/>
          <w:spacing w:val="8"/>
          <w:lang w:val="en-US" w:eastAsia="en-US"/>
        </w:rPr>
        <w:t>CTRL-sgRNA</w:t>
      </w:r>
      <w:r>
        <w:rPr>
          <w:rStyle w:val="any"/>
          <w:rFonts w:ascii="PMingLiU" w:eastAsia="PMingLiU" w:hAnsi="PMingLiU" w:cs="PMingLiU"/>
          <w:spacing w:val="8"/>
        </w:rPr>
        <w:t>）用作阴性对照。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分析证实，这两篇论文中的图像表现出实质性的相似性，引发了人们对不同实验和出版物之间潜在重复的担忧。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95850" cy="3695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91441" name=""/>
                    <pic:cNvPicPr>
                      <a:picLocks noChangeAspect="1"/>
                    </pic:cNvPicPr>
                  </pic:nvPicPr>
                  <pic:blipFill>
                    <a:blip xmlns:r="http://schemas.openxmlformats.org/officeDocument/2006/relationships" r:embed="rId9"/>
                    <a:stretch>
                      <a:fillRect/>
                    </a:stretch>
                  </pic:blipFill>
                  <pic:spPr>
                    <a:xfrm>
                      <a:off x="0" y="0"/>
                      <a:ext cx="4895850" cy="3695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Bo Peng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Cladosporium colombiae</w:t>
      </w:r>
      <w:r>
        <w:rPr>
          <w:rStyle w:val="any"/>
          <w:rFonts w:ascii="PMingLiU" w:eastAsia="PMingLiU" w:hAnsi="PMingLiU" w:cs="PMingLiU"/>
          <w:spacing w:val="8"/>
        </w:rPr>
        <w:t>，谢谢您的关心。我们审查了这两篇文章，并检查了体内实验的所有原始数据。由于两个动物实验几乎同时进行，在数据整理过程中出现了一些错误，导致其中一个代表性数字的使用不当。我们将尽快联系期刊编辑部进行必要的更正。此外，我们将决定是否在必要时重复相关的体内实验，以重新验证我们的结论。对于由此造成的任何混淆，我们深表歉意。顺致敬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Bo Peng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https://pubmed.ncbi.nlm.nih.gov/37612524/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81971" name=""/>
                    <pic:cNvPicPr>
                      <a:picLocks noChangeAspect="1"/>
                    </pic:cNvPicPr>
                  </pic:nvPicPr>
                  <pic:blipFill>
                    <a:blip xmlns:r="http://schemas.openxmlformats.org/officeDocument/2006/relationships" r:embed="rId10"/>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彭波，男，主任医师，博士生导师，医学博士，科室行政副主任。本科毕业于安徽医科大学，在第二军医大学长征医院获硕士学位，在四川大学华西医院获博士学位。在安徽医科大学第一附属医院、海军军医大学附属长海医院、长征医院、上海市第十人民医院、四川大学华西医院工作学习。中华性医学会委员、中西医结合学会泌尿外科专家委员会委员、中华泌尿外科学会男科学组委员、上海市男科学会委员、上海市泌尿外科学会前列腺学组委员和微创学组委员、上海市性医学会委员、上海市激光学会委员、上海市中西医结合学会生殖学会委员、上海市泌尿外科学会委员专家会诊中心特聘专家、同济大学和南京医科大学博士生导师。主持上海市卫生局科研课题</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项、国家计生委课题一项、上海科委课题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项。荣获部队医疗成果三等奖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中华医学奖一项、国家教委科技进步奖一等奖一项、上海市科技奖二等奖一项、上海市科普教育创新奖一项。《生理盐水中的前列腺电切术治疗高龄高危前列腺增生症》荣获上海市第十人民医院首届新技术一等奖，《腹腔镜在泌尿系肿瘤的临床应用》荣获上海市第十人民医院首届临床成果一等奖。发表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篇，其中中华系列杂志</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篇。主编专著二部《前列腺增生与前列腺癌》、《前列腺增生与前列腺癌医患问答》，参编著作两部《泌尿外科住院医师手册精要》《现代临床泌尿外科学》。熟练地处理泌尿外科常见病、多发病、罕见病，尤其擅长腹腔镜手术、前列腺疾病和泌尿系结石的微创治疗等。对泌尿系肿瘤、微创泌尿外科、女性泌尿外科、男科术有较深的造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https://pubpeer.com/publications/EC360AD64BF49B2321502B5E1E9757#0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4&amp;sn=69ec842131c473204298af1c8afed5ee&amp;chksm=c3b5ff6a08222374b0fc5eb17548edcfa3cb4a48ae6a756df615dd26626a850ef7dc5b553c41&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