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15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65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06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5c89990b483bbe484092348a4d7d106728444e5b770f8e562cb774ab9fb0c8387012b41a4e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