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图中数据存疑，包括细胞群相似、印迹背景断裂及心脏图像拉伸，南京医科大学第一附属医院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Kong Qing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Alamandine attenuates hypertension and cardiac hypertrophy in hypertensive rats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期刊：Amino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10.1007/s00726-018-2583-x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撤稿原因：图3b中Ala图像右下角的一群细胞与Ala+Ang II图像左上角的一群细胞高度相似；图4B中的MrgD和图6C中的PKA印迹在2号和3号泳道之间的背景似乎有垂直断裂，而相应的GAPDH印迹则呈现连续性。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25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56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24095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67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本研究得到了中国国家自然科学基金（编号：81400315、81627802和81570247）、江苏省“六大人才高峰”项目（编号：2015-WSN-29）以及江苏高校优势学科建设工程（PAPD）的资助。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不同处理条件下的部分细胞相同。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64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53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6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总编辑已撤回本文。文章发表后，有读者对图中展示的部分数据表示担忧，具体为：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图3b中Ala图像右下角的一群细胞与Ala+Ang II图像左上角的一群细胞高度相似；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图4B中的MrgD和图6C中的PKA印迹在2号和3号泳道之间的背景似乎有垂直断裂，而相应的GAPDH印迹则呈现连续性。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此外，图2A中SHR-Saline组的心脏图像相对于其他三组似乎在水平方向上被拉伸了。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因此，总编辑对所呈现的数据不再有信心。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Peng Li不同意此次撤回。其他作者均未对出版方关于此次撤回的任何信函作出回应。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0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69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0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3&amp;sn=151990da756be2e113504847750beeff&amp;chksm=c28956641dc5afba5def952346f1ebafa982da492405095a3bef0164cb6a9174ccc180d88419&amp;scene=126&amp;sessionid=1743958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