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9088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据报道，Bcl2 相关 athanogene 3 （BAG3） 参与许多肿瘤的侵袭性进展。</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11 月 10 日，</w:t>
      </w:r>
      <w:r>
        <w:rPr>
          <w:rStyle w:val="any"/>
          <w:rFonts w:ascii="Microsoft YaHei UI" w:eastAsia="Microsoft YaHei UI" w:hAnsi="Microsoft YaHei UI" w:cs="Microsoft YaHei UI"/>
          <w:color w:val="222222"/>
          <w:spacing w:val="8"/>
          <w:sz w:val="23"/>
          <w:szCs w:val="23"/>
        </w:rPr>
        <w:t>山东省立第三医院的Song Fei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该研究结果表明，BAG3 参与 EMT 过程，包括 CC 发育中的细胞生长、侵袭和迁移。因此，BAG3 靶标可能被推荐为一种新的治疗方法。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04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03010" name=""/>
                    <pic:cNvPicPr>
                      <a:picLocks noChangeAspect="1"/>
                    </pic:cNvPicPr>
                  </pic:nvPicPr>
                  <pic:blipFill>
                    <a:blip xmlns:r="http://schemas.openxmlformats.org/officeDocument/2006/relationships" r:embed="rId8"/>
                    <a:stretch>
                      <a:fillRect/>
                    </a:stretch>
                  </pic:blipFill>
                  <pic:spPr>
                    <a:xfrm>
                      <a:off x="0" y="0"/>
                      <a:ext cx="5486400" cy="27404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这篇文章已被撤回：</w:t>
      </w:r>
      <w:r>
        <w:rPr>
          <w:rStyle w:val="any"/>
          <w:rFonts w:ascii="Times New Roman" w:eastAsia="Times New Roman" w:hAnsi="Times New Roman" w:cs="Times New Roman"/>
          <w:spacing w:val="8"/>
          <w:sz w:val="23"/>
          <w:szCs w:val="23"/>
        </w:rPr>
        <w:t xml:space="preserve">Oncotarget </w:t>
      </w:r>
      <w:r>
        <w:rPr>
          <w:rStyle w:val="any"/>
          <w:rFonts w:ascii="PMingLiU" w:eastAsia="PMingLiU" w:hAnsi="PMingLiU" w:cs="PMingLiU"/>
          <w:spacing w:val="8"/>
          <w:sz w:val="23"/>
          <w:szCs w:val="23"/>
        </w:rPr>
        <w:t>对本文的调查显示，图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中的侵袭试验图像与其他机构</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之前发表的论文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中的图像重叠。此外，图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包含之前在第二篇不相关出版物</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中使用的经过处理的蛋白质印迹图像。我们还发现，图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HeLa </w:t>
      </w:r>
      <w:r>
        <w:rPr>
          <w:rStyle w:val="any"/>
          <w:rFonts w:ascii="PMingLiU" w:eastAsia="PMingLiU" w:hAnsi="PMingLiU" w:cs="PMingLiU"/>
          <w:spacing w:val="8"/>
          <w:sz w:val="23"/>
          <w:szCs w:val="23"/>
        </w:rPr>
        <w:t>细胞中</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表达的蛋白质印迹与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年一篇不相关论文</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中图</w:t>
      </w:r>
      <w:r>
        <w:rPr>
          <w:rStyle w:val="any"/>
          <w:rFonts w:ascii="Times New Roman" w:eastAsia="Times New Roman" w:hAnsi="Times New Roman" w:cs="Times New Roman"/>
          <w:spacing w:val="8"/>
          <w:sz w:val="23"/>
          <w:szCs w:val="23"/>
        </w:rPr>
        <w:t xml:space="preserve"> 3A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LoVo </w:t>
      </w:r>
      <w:r>
        <w:rPr>
          <w:rStyle w:val="any"/>
          <w:rFonts w:ascii="PMingLiU" w:eastAsia="PMingLiU" w:hAnsi="PMingLiU" w:cs="PMingLiU"/>
          <w:spacing w:val="8"/>
          <w:sz w:val="23"/>
          <w:szCs w:val="23"/>
        </w:rPr>
        <w:t>细胞的</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图像重复。此外，作者在</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年的论文</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中重复使用了图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SiHa </w:t>
      </w:r>
      <w:r>
        <w:rPr>
          <w:rStyle w:val="any"/>
          <w:rFonts w:ascii="PMingLiU" w:eastAsia="PMingLiU" w:hAnsi="PMingLiU" w:cs="PMingLiU"/>
          <w:spacing w:val="8"/>
          <w:sz w:val="23"/>
          <w:szCs w:val="23"/>
        </w:rPr>
        <w:t>细胞的蛋白质印迹</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图像来说明肿瘤组织中的</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表达。</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Times New Roman" w:eastAsia="Times New Roman" w:hAnsi="Times New Roman" w:cs="Times New Roman"/>
          <w:spacing w:val="8"/>
          <w:sz w:val="23"/>
          <w:szCs w:val="23"/>
        </w:rPr>
        <w:t xml:space="preserve"> Yingying Wang </w:t>
      </w:r>
      <w:r>
        <w:rPr>
          <w:rStyle w:val="any"/>
          <w:rFonts w:ascii="PMingLiU" w:eastAsia="PMingLiU" w:hAnsi="PMingLiU" w:cs="PMingLiU"/>
          <w:spacing w:val="8"/>
          <w:sz w:val="23"/>
          <w:szCs w:val="23"/>
        </w:rPr>
        <w:t>随后联系</w:t>
      </w:r>
      <w:r>
        <w:rPr>
          <w:rStyle w:val="any"/>
          <w:rFonts w:ascii="Times New Roman" w:eastAsia="Times New Roman" w:hAnsi="Times New Roman" w:cs="Times New Roman"/>
          <w:spacing w:val="8"/>
          <w:sz w:val="23"/>
          <w:szCs w:val="23"/>
        </w:rPr>
        <w:t xml:space="preserve"> Oncotarget </w:t>
      </w:r>
      <w:r>
        <w:rPr>
          <w:rStyle w:val="any"/>
          <w:rFonts w:ascii="PMingLiU" w:eastAsia="PMingLiU" w:hAnsi="PMingLiU" w:cs="PMingLiU"/>
          <w:spacing w:val="8"/>
          <w:sz w:val="23"/>
          <w:szCs w:val="23"/>
        </w:rPr>
        <w:t>要求撤回该论文，表示担心他们的研究中的图表与之前研究的图表相似，这让人怀疑他们结论的有效性。</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鉴于这些事实，编辑部决定撤回该论文。我们已收到所有作者的确认，他们同意这一决定。</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 Yuan Z, Chen D, Chen X, Yang H, Wei Y. Overexpression of trefoil factor 3 (TFF3) contributes to the malignant progression in cervical cancer cells. Cancer Cell Int. 2017; 17:7. https://doi.org/10.1186/s12935-016-0379-1.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 Wang Y, Tian Y. miR-206 Inhibits Cell Proliferation, Migration, and Invasion by Targeting BAG3 in Human Cervical Cancer. Oncol Res. 2018; 26:923–31. https://doi.org/10.3727/096504017X15143731031009. [PubMed]</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https://www.oncotarget.com/article/28708/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9469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9399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4&amp;sn=58f57674e45e5b1fa71f1fce8f7611a3&amp;chksm=cf676934a0dc4f356cb72a4f230ccbc28284b1058cdeaf2dc8f083af32fa2d834b2bff46c821&amp;scene=126&amp;sessionid=174387279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