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首都医科大学附属北京天坛医院的文章被撤回，主要原因是文章不拥有患者数据的所有权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15:46:01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探讨先天性颈椎管狭窄症 （CCSS） 是否影响脊髓型颈椎病 （CSM） 患者三节段颈椎前路椎间盘切除术和融合术 （ACDF） 的结局。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9 月 13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首都医科大学附属北京天坛医院的 Liu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Yibo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International orthopaedics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Impact of congenital spinal stenosis on the outcome of three-level anterior cervical discectomy and fusion in patients with cervical spondylotic myelopathy: a retrospective study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该研究结果表明，虽然 CCSS 组的早期 JOA 改善较慢，但不会影响 1 年时的最终神经功能改善。因此，CCSS 不应被视为 CSM 患者三级 ACDF 的禁忌症。影响 1 年结局的主要因素是术前年龄、 JOA 评分、 ISI 分级和脊髓压迫程度。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不拥有患者数据的所有权。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3678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32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3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主编已撤回本文，因为作者表示他们不拥有此处报告的患者数据的所有权。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所有作者都同意此撤回。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https://link.springer.com/article/10.1007/s00264-025-06504-5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73&amp;idx=2&amp;sn=173f215e56cf5b45ff1fa3c7de4a0207&amp;chksm=c22eccd50c253046a8c2318212fa72130134d548dbcd250845cc97b78026b0e7de15fbc1a430&amp;scene=126&amp;sessionid=17438728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