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2025-03-28 16:37:39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07131"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84707"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32079"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55&amp;idx=1&amp;sn=b867ab46ba910fd5c1f6d65648e86ec8&amp;chksm=c2e4603ca5527e29e9b0c9d56005daf397cc6f04f097a2fd36fec9c39e4630bfd963f6b7e87d&amp;scene=126&amp;sessionid=174387287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